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bCs/>
          <w:sz w:val="72"/>
          <w:szCs w:val="72"/>
        </w:rPr>
      </w:pPr>
    </w:p>
    <w:p>
      <w:pPr>
        <w:adjustRightInd w:val="0"/>
        <w:snapToGrid w:val="0"/>
        <w:jc w:val="center"/>
        <w:rPr>
          <w:rFonts w:hint="eastAsia" w:ascii="方正小标宋_GBK" w:eastAsia="方正小标宋_GBK"/>
          <w:bCs/>
          <w:sz w:val="72"/>
          <w:szCs w:val="72"/>
        </w:rPr>
      </w:pPr>
    </w:p>
    <w:p>
      <w:pPr>
        <w:adjustRightInd w:val="0"/>
        <w:snapToGrid w:val="0"/>
        <w:jc w:val="center"/>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249" w:beforeLines="80"/>
        <w:jc w:val="center"/>
        <w:rPr>
          <w:rFonts w:hint="default" w:ascii="楷体_GB2312" w:eastAsia="楷体_GB2312"/>
          <w:bCs/>
          <w:sz w:val="48"/>
          <w:szCs w:val="48"/>
          <w:lang w:val="en-US" w:eastAsia="zh-CN"/>
        </w:rPr>
      </w:pPr>
      <w:r>
        <w:rPr>
          <w:rFonts w:hint="eastAsia" w:ascii="楷体_GB2312" w:eastAsia="楷体_GB2312"/>
          <w:bCs/>
          <w:sz w:val="48"/>
          <w:szCs w:val="48"/>
        </w:rPr>
        <w:t>（污染影响类）</w:t>
      </w:r>
      <w:r>
        <w:rPr>
          <w:rFonts w:hint="eastAsia" w:ascii="楷体_GB2312" w:eastAsia="楷体_GB2312"/>
          <w:bCs/>
          <w:sz w:val="48"/>
          <w:szCs w:val="48"/>
          <w:lang w:val="en-US" w:eastAsia="zh-CN"/>
        </w:rPr>
        <w:t xml:space="preserve">                                                                                                                                                                                                                                                                                                                                                                                                                                                                                                                                                                                                                                                                                                                                                                                                                                                                                                                         </w:t>
      </w:r>
    </w:p>
    <w:p>
      <w:pPr>
        <w:adjustRightInd w:val="0"/>
        <w:snapToGrid w:val="0"/>
        <w:spacing w:line="288" w:lineRule="auto"/>
        <w:jc w:val="center"/>
        <w:rPr>
          <w:rFonts w:ascii="华文仿宋" w:hAnsi="华文仿宋" w:eastAsia="华文仿宋" w:cs="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bidi w:val="0"/>
        <w:ind w:firstLine="1500" w:firstLineChars="500"/>
        <w:rPr>
          <w:rFonts w:hint="default"/>
          <w:sz w:val="30"/>
          <w:szCs w:val="30"/>
          <w:lang w:val="en-US" w:eastAsia="zh-CN"/>
        </w:rPr>
      </w:pPr>
    </w:p>
    <w:p>
      <w:pPr>
        <w:bidi w:val="0"/>
        <w:ind w:firstLine="1500" w:firstLineChars="500"/>
        <w:rPr>
          <w:rFonts w:hint="default"/>
          <w:sz w:val="30"/>
          <w:szCs w:val="30"/>
          <w:lang w:val="en-US" w:eastAsia="zh-CN"/>
        </w:rPr>
      </w:pPr>
    </w:p>
    <w:p>
      <w:pPr>
        <w:bidi w:val="0"/>
        <w:ind w:firstLine="600" w:firstLineChars="200"/>
        <w:rPr>
          <w:rFonts w:hint="default"/>
          <w:sz w:val="30"/>
          <w:szCs w:val="30"/>
        </w:rPr>
      </w:pPr>
      <w:r>
        <w:rPr>
          <w:rFonts w:hint="default"/>
          <w:sz w:val="30"/>
          <w:szCs w:val="30"/>
          <w:lang w:val="en-US" w:eastAsia="zh-CN"/>
        </w:rPr>
        <w:t>项目名称</w:t>
      </w:r>
      <w:r>
        <w:rPr>
          <w:rFonts w:hint="default"/>
          <w:sz w:val="30"/>
          <w:szCs w:val="30"/>
        </w:rPr>
        <w:t>：</w:t>
      </w:r>
      <w:r>
        <w:rPr>
          <w:rFonts w:hint="eastAsia"/>
          <w:sz w:val="30"/>
          <w:szCs w:val="30"/>
          <w:u w:val="single"/>
          <w:lang w:val="en-US" w:eastAsia="zh-CN"/>
        </w:rPr>
        <w:t xml:space="preserve">           年产20万件服装项目             </w:t>
      </w:r>
      <w:r>
        <w:rPr>
          <w:rFonts w:hint="default"/>
          <w:sz w:val="30"/>
          <w:szCs w:val="30"/>
        </w:rPr>
        <w:t xml:space="preserve">          </w:t>
      </w:r>
    </w:p>
    <w:p>
      <w:pPr>
        <w:bidi w:val="0"/>
        <w:ind w:firstLine="600" w:firstLineChars="200"/>
        <w:rPr>
          <w:rFonts w:hint="default"/>
          <w:sz w:val="30"/>
          <w:szCs w:val="30"/>
          <w:u w:val="single"/>
          <w:lang w:val="en-US"/>
        </w:rPr>
      </w:pPr>
      <w:r>
        <w:rPr>
          <w:rFonts w:hint="default"/>
          <w:sz w:val="30"/>
          <w:szCs w:val="30"/>
          <w:lang w:val="en-US" w:eastAsia="zh-CN"/>
        </w:rPr>
        <w:t>建设单位（盖章）</w:t>
      </w:r>
      <w:r>
        <w:rPr>
          <w:rFonts w:hint="default"/>
          <w:sz w:val="30"/>
          <w:szCs w:val="30"/>
        </w:rPr>
        <w:t>：</w:t>
      </w:r>
      <w:bookmarkStart w:id="0" w:name="OLE_LINK1"/>
      <w:r>
        <w:rPr>
          <w:rFonts w:hint="eastAsia"/>
          <w:sz w:val="30"/>
          <w:szCs w:val="30"/>
          <w:u w:val="single"/>
          <w:lang w:val="en-US" w:eastAsia="zh-CN"/>
        </w:rPr>
        <w:t xml:space="preserve">    </w:t>
      </w:r>
      <w:r>
        <w:rPr>
          <w:rFonts w:hint="default"/>
          <w:sz w:val="30"/>
          <w:szCs w:val="30"/>
          <w:u w:val="single"/>
          <w:lang w:val="en-US" w:eastAsia="zh-CN"/>
        </w:rPr>
        <w:t>南通</w:t>
      </w:r>
      <w:bookmarkEnd w:id="0"/>
      <w:r>
        <w:rPr>
          <w:rFonts w:hint="eastAsia"/>
          <w:sz w:val="30"/>
          <w:szCs w:val="30"/>
          <w:u w:val="single"/>
          <w:lang w:val="en-US" w:eastAsia="zh-CN"/>
        </w:rPr>
        <w:t xml:space="preserve">春秋时装有限公司          </w:t>
      </w:r>
    </w:p>
    <w:p>
      <w:pPr>
        <w:bidi w:val="0"/>
        <w:ind w:firstLine="600" w:firstLineChars="200"/>
        <w:rPr>
          <w:rFonts w:hint="eastAsia" w:ascii="仿宋_GB2312" w:eastAsia="仿宋_GB2312"/>
          <w:sz w:val="36"/>
          <w:szCs w:val="36"/>
          <w:u w:val="single"/>
          <w:lang w:val="en-US" w:eastAsia="zh-CN"/>
        </w:rPr>
      </w:pPr>
      <w:r>
        <w:rPr>
          <w:rFonts w:hint="default"/>
          <w:sz w:val="30"/>
          <w:szCs w:val="30"/>
          <w:lang w:val="en-US" w:eastAsia="zh-CN"/>
        </w:rPr>
        <w:t>编制日期：</w:t>
      </w:r>
      <w:r>
        <w:rPr>
          <w:rFonts w:hint="eastAsia"/>
          <w:sz w:val="30"/>
          <w:szCs w:val="30"/>
          <w:u w:val="single"/>
          <w:lang w:val="en-US" w:eastAsia="zh-CN"/>
        </w:rPr>
        <w:t xml:space="preserve">                2024年5月             </w:t>
      </w:r>
      <w:bookmarkStart w:id="1" w:name="_Hlk57884087"/>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pStyle w:val="2"/>
        <w:rPr>
          <w:rFonts w:ascii="仿宋_GB2312" w:eastAsia="仿宋_GB2312"/>
          <w:sz w:val="36"/>
          <w:szCs w:val="36"/>
        </w:rPr>
      </w:pPr>
    </w:p>
    <w:p>
      <w:pPr>
        <w:rPr>
          <w:rFonts w:ascii="仿宋_GB2312" w:eastAsia="仿宋_GB2312"/>
          <w:sz w:val="36"/>
          <w:szCs w:val="36"/>
        </w:rPr>
      </w:pPr>
    </w:p>
    <w:p>
      <w:pPr>
        <w:pStyle w:val="2"/>
      </w:pPr>
    </w:p>
    <w:p>
      <w:pPr>
        <w:adjustRightInd w:val="0"/>
        <w:snapToGrid w:val="0"/>
        <w:spacing w:line="288" w:lineRule="auto"/>
        <w:ind w:firstLine="1040"/>
        <w:rPr>
          <w:rFonts w:hint="eastAsia" w:ascii="仿宋_GB2312" w:eastAsia="仿宋_GB2312"/>
          <w:sz w:val="36"/>
          <w:szCs w:val="36"/>
        </w:rPr>
      </w:pPr>
    </w:p>
    <w:bookmarkEnd w:id="1"/>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spacing w:before="156" w:beforeLines="50" w:after="156" w:afterLines="50"/>
        <w:jc w:val="center"/>
        <w:outlineLvl w:val="0"/>
        <w:rPr>
          <w:rFonts w:hint="eastAsia" w:ascii="黑体" w:hAnsi="黑体" w:eastAsia="黑体"/>
          <w:color w:val="auto"/>
          <w:sz w:val="30"/>
          <w:szCs w:val="3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pPr>
    </w:p>
    <w:p>
      <w:pPr>
        <w:spacing w:before="156" w:beforeLines="50" w:after="156" w:afterLines="50"/>
        <w:jc w:val="center"/>
        <w:outlineLvl w:val="0"/>
        <w:rPr>
          <w:rFonts w:hint="eastAsia" w:ascii="黑体" w:hAnsi="黑体" w:eastAsia="黑体"/>
          <w:color w:val="auto"/>
          <w:sz w:val="30"/>
          <w:szCs w:val="30"/>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before="156" w:beforeLines="50" w:after="156" w:afterLines="50"/>
        <w:jc w:val="center"/>
        <w:outlineLvl w:val="0"/>
        <w:rPr>
          <w:rFonts w:hint="eastAsia" w:ascii="黑体" w:hAnsi="黑体" w:eastAsia="黑体"/>
          <w:color w:val="auto"/>
          <w:sz w:val="30"/>
          <w:szCs w:val="30"/>
        </w:rPr>
      </w:pPr>
      <w:r>
        <w:rPr>
          <w:rFonts w:hint="eastAsia" w:ascii="黑体" w:hAnsi="黑体" w:eastAsia="黑体"/>
          <w:color w:val="auto"/>
          <w:sz w:val="30"/>
          <w:szCs w:val="30"/>
        </w:rPr>
        <w:t>一、建设项目基本情况</w:t>
      </w:r>
    </w:p>
    <w:tbl>
      <w:tblPr>
        <w:tblStyle w:val="11"/>
        <w:tblW w:w="89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58"/>
        <w:gridCol w:w="2240"/>
        <w:gridCol w:w="221"/>
        <w:gridCol w:w="1804"/>
        <w:gridCol w:w="30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建设项目名称</w:t>
            </w:r>
          </w:p>
        </w:tc>
        <w:tc>
          <w:tcPr>
            <w:tcW w:w="7312" w:type="dxa"/>
            <w:gridSpan w:val="4"/>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年产20万件服装项目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项目代码</w:t>
            </w:r>
          </w:p>
        </w:tc>
        <w:tc>
          <w:tcPr>
            <w:tcW w:w="7312" w:type="dxa"/>
            <w:gridSpan w:val="4"/>
            <w:noWrap w:val="0"/>
            <w:vAlign w:val="center"/>
          </w:tcPr>
          <w:p>
            <w:pPr>
              <w:adjustRightInd w:val="0"/>
              <w:snapToGrid w:val="0"/>
              <w:jc w:val="center"/>
              <w:rPr>
                <w:rFonts w:hint="eastAsia" w:eastAsia="宋体"/>
                <w:color w:val="auto"/>
                <w:szCs w:val="21"/>
                <w:lang w:val="en-US" w:eastAsia="zh-CN"/>
              </w:rPr>
            </w:pPr>
            <w:r>
              <w:rPr>
                <w:rFonts w:hint="default" w:ascii="Times New Roman" w:hAnsi="Times New Roman" w:cs="Times New Roman"/>
                <w:bCs/>
                <w:color w:val="auto"/>
                <w:sz w:val="21"/>
                <w:szCs w:val="21"/>
                <w:lang w:val="en-US" w:eastAsia="zh-CN"/>
              </w:rPr>
              <w:t>2405-320681-89-02-249734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建设单位联系人</w:t>
            </w:r>
          </w:p>
        </w:tc>
        <w:tc>
          <w:tcPr>
            <w:tcW w:w="2461" w:type="dxa"/>
            <w:gridSpan w:val="2"/>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陈正岳</w:t>
            </w:r>
          </w:p>
        </w:tc>
        <w:tc>
          <w:tcPr>
            <w:tcW w:w="1804" w:type="dxa"/>
            <w:noWrap w:val="0"/>
            <w:vAlign w:val="center"/>
          </w:tcPr>
          <w:p>
            <w:pPr>
              <w:adjustRightInd w:val="0"/>
              <w:snapToGrid w:val="0"/>
              <w:jc w:val="center"/>
              <w:rPr>
                <w:color w:val="auto"/>
                <w:szCs w:val="21"/>
              </w:rPr>
            </w:pPr>
            <w:r>
              <w:rPr>
                <w:color w:val="auto"/>
                <w:szCs w:val="21"/>
              </w:rPr>
              <w:t>联系方式</w:t>
            </w:r>
          </w:p>
        </w:tc>
        <w:tc>
          <w:tcPr>
            <w:tcW w:w="3047"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13806282560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建设地点</w:t>
            </w:r>
          </w:p>
        </w:tc>
        <w:tc>
          <w:tcPr>
            <w:tcW w:w="7312" w:type="dxa"/>
            <w:gridSpan w:val="4"/>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江苏省南通市启东市启东经济开发区人民西路3333号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地理坐标</w:t>
            </w:r>
          </w:p>
        </w:tc>
        <w:tc>
          <w:tcPr>
            <w:tcW w:w="7312" w:type="dxa"/>
            <w:gridSpan w:val="4"/>
            <w:noWrap w:val="0"/>
            <w:vAlign w:val="center"/>
          </w:tcPr>
          <w:p>
            <w:pPr>
              <w:jc w:val="center"/>
              <w:rPr>
                <w:color w:val="auto"/>
                <w:szCs w:val="21"/>
              </w:rPr>
            </w:pPr>
            <w:r>
              <w:rPr>
                <w:rFonts w:hint="eastAsia"/>
                <w:color w:val="auto"/>
                <w:szCs w:val="21"/>
              </w:rPr>
              <w:t>北纬</w:t>
            </w:r>
            <w:r>
              <w:rPr>
                <w:rFonts w:hint="eastAsia"/>
                <w:color w:val="auto"/>
                <w:szCs w:val="21"/>
                <w:u w:val="single"/>
              </w:rPr>
              <w:t>3</w:t>
            </w:r>
            <w:r>
              <w:rPr>
                <w:rFonts w:hint="eastAsia"/>
                <w:color w:val="auto"/>
                <w:szCs w:val="21"/>
                <w:u w:val="single"/>
                <w:lang w:val="en-US" w:eastAsia="zh-CN"/>
              </w:rPr>
              <w:t>1</w:t>
            </w:r>
            <w:r>
              <w:rPr>
                <w:color w:val="auto"/>
                <w:szCs w:val="21"/>
              </w:rPr>
              <w:t>度</w:t>
            </w:r>
            <w:r>
              <w:rPr>
                <w:rFonts w:hint="eastAsia"/>
                <w:color w:val="auto"/>
                <w:szCs w:val="21"/>
                <w:u w:val="single"/>
                <w:lang w:val="en-US" w:eastAsia="zh-CN"/>
              </w:rPr>
              <w:t>49</w:t>
            </w:r>
            <w:r>
              <w:rPr>
                <w:color w:val="auto"/>
                <w:szCs w:val="21"/>
              </w:rPr>
              <w:t>分</w:t>
            </w:r>
            <w:r>
              <w:rPr>
                <w:rFonts w:hint="eastAsia"/>
                <w:color w:val="auto"/>
                <w:szCs w:val="21"/>
                <w:u w:val="single"/>
                <w:lang w:val="en-US" w:eastAsia="zh-CN"/>
              </w:rPr>
              <w:t>36.26</w:t>
            </w:r>
            <w:r>
              <w:rPr>
                <w:color w:val="auto"/>
                <w:szCs w:val="21"/>
              </w:rPr>
              <w:t>秒，东经</w:t>
            </w:r>
            <w:r>
              <w:rPr>
                <w:rFonts w:hint="eastAsia"/>
                <w:color w:val="auto"/>
                <w:szCs w:val="21"/>
                <w:u w:val="single"/>
              </w:rPr>
              <w:t>12</w:t>
            </w:r>
            <w:r>
              <w:rPr>
                <w:rFonts w:hint="eastAsia"/>
                <w:color w:val="auto"/>
                <w:szCs w:val="21"/>
                <w:u w:val="single"/>
                <w:lang w:val="en-US" w:eastAsia="zh-CN"/>
              </w:rPr>
              <w:t>1</w:t>
            </w:r>
            <w:r>
              <w:rPr>
                <w:color w:val="auto"/>
                <w:szCs w:val="21"/>
              </w:rPr>
              <w:t>度</w:t>
            </w:r>
            <w:r>
              <w:rPr>
                <w:rFonts w:hint="eastAsia"/>
                <w:color w:val="auto"/>
                <w:szCs w:val="21"/>
                <w:u w:val="single"/>
                <w:lang w:val="en-US" w:eastAsia="zh-CN"/>
              </w:rPr>
              <w:t>36</w:t>
            </w:r>
            <w:r>
              <w:rPr>
                <w:color w:val="auto"/>
                <w:szCs w:val="21"/>
              </w:rPr>
              <w:t>分</w:t>
            </w:r>
            <w:r>
              <w:rPr>
                <w:rFonts w:hint="eastAsia"/>
                <w:color w:val="auto"/>
                <w:szCs w:val="21"/>
                <w:u w:val="single"/>
                <w:lang w:val="en-US" w:eastAsia="zh-CN"/>
              </w:rPr>
              <w:t>26.752</w:t>
            </w:r>
            <w:r>
              <w:rPr>
                <w:color w:val="auto"/>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国民经济</w:t>
            </w:r>
          </w:p>
          <w:p>
            <w:pPr>
              <w:adjustRightInd w:val="0"/>
              <w:snapToGrid w:val="0"/>
              <w:jc w:val="center"/>
              <w:rPr>
                <w:color w:val="auto"/>
                <w:szCs w:val="21"/>
              </w:rPr>
            </w:pPr>
            <w:r>
              <w:rPr>
                <w:color w:val="auto"/>
                <w:szCs w:val="21"/>
              </w:rPr>
              <w:t>行业类别</w:t>
            </w:r>
          </w:p>
        </w:tc>
        <w:tc>
          <w:tcPr>
            <w:tcW w:w="2240" w:type="dxa"/>
            <w:noWrap w:val="0"/>
            <w:vAlign w:val="center"/>
          </w:tcPr>
          <w:p>
            <w:pPr>
              <w:adjustRightInd w:val="0"/>
              <w:snapToGrid w:val="0"/>
              <w:jc w:val="both"/>
              <w:rPr>
                <w:rFonts w:hint="default" w:eastAsia="宋体"/>
                <w:color w:val="auto"/>
                <w:szCs w:val="21"/>
                <w:lang w:val="en-US" w:eastAsia="zh-CN"/>
              </w:rPr>
            </w:pPr>
            <w:r>
              <w:rPr>
                <w:rFonts w:hint="eastAsia"/>
                <w:color w:val="auto"/>
                <w:szCs w:val="21"/>
                <w:lang w:val="en-US" w:eastAsia="zh-CN"/>
              </w:rPr>
              <w:t>C1829其他针织或钩针编织服装制造</w:t>
            </w:r>
          </w:p>
        </w:tc>
        <w:tc>
          <w:tcPr>
            <w:tcW w:w="2025" w:type="dxa"/>
            <w:gridSpan w:val="2"/>
            <w:noWrap w:val="0"/>
            <w:vAlign w:val="center"/>
          </w:tcPr>
          <w:p>
            <w:pPr>
              <w:adjustRightInd w:val="0"/>
              <w:snapToGrid w:val="0"/>
              <w:jc w:val="center"/>
              <w:rPr>
                <w:color w:val="auto"/>
                <w:szCs w:val="21"/>
              </w:rPr>
            </w:pPr>
            <w:bookmarkStart w:id="2" w:name="_Hlk49843745"/>
            <w:r>
              <w:rPr>
                <w:color w:val="auto"/>
                <w:szCs w:val="21"/>
              </w:rPr>
              <w:t>建设项目</w:t>
            </w:r>
          </w:p>
          <w:p>
            <w:pPr>
              <w:adjustRightInd w:val="0"/>
              <w:snapToGrid w:val="0"/>
              <w:jc w:val="center"/>
              <w:rPr>
                <w:color w:val="auto"/>
                <w:szCs w:val="21"/>
              </w:rPr>
            </w:pPr>
            <w:r>
              <w:rPr>
                <w:color w:val="auto"/>
                <w:szCs w:val="21"/>
              </w:rPr>
              <w:t>行业类别</w:t>
            </w:r>
            <w:bookmarkEnd w:id="2"/>
          </w:p>
        </w:tc>
        <w:tc>
          <w:tcPr>
            <w:tcW w:w="3047" w:type="dxa"/>
            <w:noWrap w:val="0"/>
            <w:vAlign w:val="center"/>
          </w:tcPr>
          <w:p>
            <w:pPr>
              <w:keepNext w:val="0"/>
              <w:keepLines w:val="0"/>
              <w:widowControl/>
              <w:suppressLineNumbers w:val="0"/>
              <w:jc w:val="left"/>
              <w:rPr>
                <w:rFonts w:hint="default"/>
                <w:color w:val="auto"/>
                <w:szCs w:val="21"/>
                <w:lang w:val="en-US" w:eastAsia="zh-CN"/>
              </w:rPr>
            </w:pPr>
            <w:r>
              <w:rPr>
                <w:rFonts w:hint="default" w:ascii="Times New Roman" w:hAnsi="Times New Roman" w:cs="Times New Roman" w:eastAsiaTheme="minorEastAsia"/>
                <w:color w:val="000000"/>
                <w:kern w:val="0"/>
                <w:sz w:val="21"/>
                <w:szCs w:val="21"/>
                <w:lang w:val="en-US" w:eastAsia="zh-CN" w:bidi="ar"/>
              </w:rPr>
              <w:t>十五、纺织服装、服饰业</w:t>
            </w:r>
            <w:r>
              <w:rPr>
                <w:rFonts w:hint="eastAsia" w:cs="Times New Roman" w:eastAsiaTheme="minorEastAsia"/>
                <w:color w:val="000000"/>
                <w:kern w:val="0"/>
                <w:sz w:val="21"/>
                <w:szCs w:val="21"/>
                <w:lang w:val="en-US" w:eastAsia="zh-CN" w:bidi="ar"/>
              </w:rPr>
              <w:t>-29</w:t>
            </w:r>
            <w:r>
              <w:rPr>
                <w:rFonts w:hint="default"/>
                <w:color w:val="auto"/>
                <w:szCs w:val="21"/>
                <w:lang w:val="en-US" w:eastAsia="zh-CN"/>
              </w:rPr>
              <w:t>针织或钩针编织服装制造 18</w:t>
            </w:r>
            <w:r>
              <w:rPr>
                <w:rFonts w:hint="eastAsia"/>
                <w:color w:val="auto"/>
                <w:szCs w:val="21"/>
                <w:lang w:val="en-US" w:eastAsia="zh-CN"/>
              </w:rPr>
              <w:t>2-有喷墨印花或数码印花工艺的；有洗水、砂洗工艺的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建设性质</w:t>
            </w:r>
          </w:p>
        </w:tc>
        <w:tc>
          <w:tcPr>
            <w:tcW w:w="2240" w:type="dxa"/>
            <w:noWrap w:val="0"/>
            <w:vAlign w:val="center"/>
          </w:tcPr>
          <w:p>
            <w:pPr>
              <w:jc w:val="left"/>
              <w:rPr>
                <w:color w:val="auto"/>
                <w:szCs w:val="21"/>
              </w:rPr>
            </w:pPr>
            <w:r>
              <w:rPr>
                <w:color w:val="auto"/>
                <w:szCs w:val="21"/>
              </w:rPr>
              <w:sym w:font="Wingdings 2" w:char="00A3"/>
            </w:r>
            <w:r>
              <w:rPr>
                <w:color w:val="auto"/>
                <w:szCs w:val="21"/>
              </w:rPr>
              <w:t>新建（迁建）</w:t>
            </w:r>
          </w:p>
          <w:p>
            <w:pPr>
              <w:jc w:val="left"/>
              <w:rPr>
                <w:rFonts w:hint="eastAsia" w:eastAsia="宋体"/>
                <w:b w:val="0"/>
                <w:bCs w:val="0"/>
                <w:color w:val="auto"/>
                <w:szCs w:val="21"/>
                <w:lang w:eastAsia="zh-CN"/>
              </w:rPr>
            </w:pPr>
            <w:r>
              <w:rPr>
                <w:b w:val="0"/>
                <w:bCs w:val="0"/>
                <w:color w:val="auto"/>
                <w:szCs w:val="21"/>
              </w:rPr>
              <w:sym w:font="Wingdings 2" w:char="00A3"/>
            </w:r>
            <w:r>
              <w:rPr>
                <w:rFonts w:hint="eastAsia"/>
                <w:b w:val="0"/>
                <w:bCs w:val="0"/>
                <w:color w:val="auto"/>
                <w:szCs w:val="21"/>
                <w:lang w:eastAsia="zh-CN"/>
              </w:rPr>
              <w:t>改建</w:t>
            </w:r>
          </w:p>
          <w:p>
            <w:pPr>
              <w:jc w:val="left"/>
              <w:rPr>
                <w:b/>
                <w:bCs/>
                <w:color w:val="auto"/>
                <w:szCs w:val="21"/>
              </w:rPr>
            </w:pPr>
            <w:r>
              <w:rPr>
                <w:rFonts w:hint="eastAsia" w:ascii="MS Mincho" w:hAnsi="MS Mincho" w:eastAsia="宋体" w:cs="MS Mincho"/>
                <w:b w:val="0"/>
                <w:bCs w:val="0"/>
                <w:color w:val="auto"/>
                <w:sz w:val="20"/>
                <w:szCs w:val="20"/>
                <w:shd w:val="clear" w:color="auto" w:fill="FFFFFF"/>
                <w:lang w:eastAsia="zh-CN"/>
              </w:rPr>
              <w:sym w:font="Wingdings 2" w:char="00A3"/>
            </w:r>
            <w:r>
              <w:rPr>
                <w:b w:val="0"/>
                <w:bCs w:val="0"/>
                <w:color w:val="auto"/>
                <w:szCs w:val="21"/>
              </w:rPr>
              <w:t>扩建</w:t>
            </w:r>
          </w:p>
          <w:p>
            <w:pPr>
              <w:jc w:val="left"/>
              <w:rPr>
                <w:color w:val="auto"/>
                <w:szCs w:val="21"/>
              </w:rPr>
            </w:pPr>
            <w:r>
              <w:rPr>
                <w:b/>
                <w:bCs/>
                <w:color w:val="auto"/>
                <w:szCs w:val="21"/>
              </w:rPr>
              <w:sym w:font="Wingdings 2" w:char="0052"/>
            </w:r>
            <w:r>
              <w:rPr>
                <w:b/>
                <w:bCs/>
                <w:color w:val="auto"/>
                <w:szCs w:val="21"/>
              </w:rPr>
              <w:t>技术改造</w:t>
            </w:r>
          </w:p>
        </w:tc>
        <w:tc>
          <w:tcPr>
            <w:tcW w:w="2025" w:type="dxa"/>
            <w:gridSpan w:val="2"/>
            <w:noWrap w:val="0"/>
            <w:vAlign w:val="center"/>
          </w:tcPr>
          <w:p>
            <w:pPr>
              <w:adjustRightInd w:val="0"/>
              <w:snapToGrid w:val="0"/>
              <w:jc w:val="center"/>
              <w:rPr>
                <w:color w:val="auto"/>
                <w:szCs w:val="21"/>
              </w:rPr>
            </w:pPr>
            <w:r>
              <w:rPr>
                <w:color w:val="auto"/>
                <w:szCs w:val="21"/>
              </w:rPr>
              <w:t>建设项目</w:t>
            </w:r>
          </w:p>
          <w:p>
            <w:pPr>
              <w:adjustRightInd w:val="0"/>
              <w:snapToGrid w:val="0"/>
              <w:jc w:val="center"/>
              <w:rPr>
                <w:color w:val="auto"/>
                <w:szCs w:val="21"/>
              </w:rPr>
            </w:pPr>
            <w:r>
              <w:rPr>
                <w:color w:val="auto"/>
                <w:szCs w:val="21"/>
              </w:rPr>
              <w:t>申报情形</w:t>
            </w:r>
          </w:p>
        </w:tc>
        <w:tc>
          <w:tcPr>
            <w:tcW w:w="3047" w:type="dxa"/>
            <w:noWrap w:val="0"/>
            <w:vAlign w:val="center"/>
          </w:tcPr>
          <w:p>
            <w:pPr>
              <w:jc w:val="left"/>
              <w:rPr>
                <w:color w:val="auto"/>
                <w:szCs w:val="21"/>
              </w:rPr>
            </w:pPr>
            <w:r>
              <w:rPr>
                <w:rFonts w:hint="eastAsia" w:ascii="MS Mincho" w:hAnsi="MS Mincho" w:eastAsia="MS Mincho" w:cs="MS Mincho"/>
                <w:color w:val="auto"/>
                <w:sz w:val="20"/>
                <w:szCs w:val="20"/>
                <w:shd w:val="clear" w:color="auto" w:fill="FFFFFF"/>
              </w:rPr>
              <w:t>☑</w:t>
            </w:r>
            <w:r>
              <w:rPr>
                <w:color w:val="auto"/>
                <w:szCs w:val="21"/>
              </w:rPr>
              <w:t xml:space="preserve">首次申报项目             </w:t>
            </w:r>
          </w:p>
          <w:p>
            <w:pPr>
              <w:jc w:val="left"/>
              <w:rPr>
                <w:color w:val="auto"/>
                <w:szCs w:val="21"/>
              </w:rPr>
            </w:pPr>
            <w:r>
              <w:rPr>
                <w:color w:val="auto"/>
                <w:szCs w:val="21"/>
              </w:rPr>
              <w:sym w:font="Wingdings 2" w:char="00A3"/>
            </w:r>
            <w:r>
              <w:rPr>
                <w:color w:val="auto"/>
                <w:szCs w:val="21"/>
              </w:rPr>
              <w:t>不予批准后再次申报项目</w:t>
            </w:r>
          </w:p>
          <w:p>
            <w:pPr>
              <w:jc w:val="left"/>
              <w:rPr>
                <w:color w:val="auto"/>
                <w:szCs w:val="21"/>
              </w:rPr>
            </w:pPr>
            <w:r>
              <w:rPr>
                <w:color w:val="auto"/>
                <w:szCs w:val="21"/>
              </w:rPr>
              <w:sym w:font="Wingdings 2" w:char="00A3"/>
            </w:r>
            <w:r>
              <w:rPr>
                <w:color w:val="auto"/>
                <w:szCs w:val="21"/>
              </w:rPr>
              <w:t xml:space="preserve">超五年重新审核项目     </w:t>
            </w:r>
          </w:p>
          <w:p>
            <w:pPr>
              <w:jc w:val="left"/>
              <w:rPr>
                <w:color w:val="auto"/>
                <w:szCs w:val="21"/>
              </w:rPr>
            </w:pPr>
            <w:r>
              <w:rPr>
                <w:color w:val="auto"/>
                <w:szCs w:val="21"/>
              </w:rPr>
              <w:sym w:font="Wingdings 2" w:char="00A3"/>
            </w:r>
            <w:r>
              <w:rPr>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项目审批（核准/</w:t>
            </w:r>
          </w:p>
          <w:p>
            <w:pPr>
              <w:adjustRightInd w:val="0"/>
              <w:snapToGrid w:val="0"/>
              <w:jc w:val="center"/>
              <w:rPr>
                <w:color w:val="auto"/>
                <w:szCs w:val="21"/>
              </w:rPr>
            </w:pPr>
            <w:r>
              <w:rPr>
                <w:color w:val="auto"/>
                <w:szCs w:val="21"/>
              </w:rPr>
              <w:t>备案）部门（选填）</w:t>
            </w:r>
          </w:p>
        </w:tc>
        <w:tc>
          <w:tcPr>
            <w:tcW w:w="2240" w:type="dxa"/>
            <w:noWrap w:val="0"/>
            <w:vAlign w:val="center"/>
          </w:tcPr>
          <w:p>
            <w:pPr>
              <w:adjustRightInd w:val="0"/>
              <w:snapToGrid w:val="0"/>
              <w:jc w:val="center"/>
              <w:rPr>
                <w:rFonts w:hint="default" w:eastAsia="宋体"/>
                <w:color w:val="auto"/>
                <w:szCs w:val="21"/>
                <w:lang w:val="en-US" w:eastAsia="zh-CN"/>
              </w:rPr>
            </w:pPr>
            <w:r>
              <w:rPr>
                <w:rFonts w:hint="default" w:eastAsia="宋体"/>
                <w:color w:val="auto"/>
                <w:szCs w:val="21"/>
                <w:lang w:val="en-US" w:eastAsia="zh-CN"/>
              </w:rPr>
              <w:t>启东市行政审批局</w:t>
            </w:r>
          </w:p>
        </w:tc>
        <w:tc>
          <w:tcPr>
            <w:tcW w:w="2025" w:type="dxa"/>
            <w:gridSpan w:val="2"/>
            <w:noWrap w:val="0"/>
            <w:vAlign w:val="center"/>
          </w:tcPr>
          <w:p>
            <w:pPr>
              <w:adjustRightInd w:val="0"/>
              <w:snapToGrid w:val="0"/>
              <w:jc w:val="center"/>
              <w:rPr>
                <w:color w:val="auto"/>
                <w:szCs w:val="21"/>
              </w:rPr>
            </w:pPr>
            <w:r>
              <w:rPr>
                <w:color w:val="auto"/>
                <w:szCs w:val="21"/>
              </w:rPr>
              <w:t>项目审批（核准/</w:t>
            </w:r>
          </w:p>
          <w:p>
            <w:pPr>
              <w:adjustRightInd w:val="0"/>
              <w:snapToGrid w:val="0"/>
              <w:jc w:val="center"/>
              <w:rPr>
                <w:color w:val="auto"/>
                <w:szCs w:val="21"/>
              </w:rPr>
            </w:pPr>
            <w:r>
              <w:rPr>
                <w:color w:val="auto"/>
                <w:szCs w:val="21"/>
              </w:rPr>
              <w:t>备案）文号（选填）</w:t>
            </w:r>
          </w:p>
        </w:tc>
        <w:tc>
          <w:tcPr>
            <w:tcW w:w="3047" w:type="dxa"/>
            <w:noWrap w:val="0"/>
            <w:vAlign w:val="center"/>
          </w:tcPr>
          <w:p>
            <w:pPr>
              <w:adjustRightInd w:val="0"/>
              <w:snapToGrid w:val="0"/>
              <w:jc w:val="center"/>
              <w:rPr>
                <w:rFonts w:hint="default" w:eastAsia="宋体"/>
                <w:color w:val="auto"/>
                <w:szCs w:val="21"/>
                <w:lang w:val="en-US" w:eastAsia="zh-CN"/>
              </w:rPr>
            </w:pPr>
            <w:r>
              <w:rPr>
                <w:rFonts w:hint="default" w:eastAsia="宋体"/>
                <w:color w:val="auto"/>
                <w:szCs w:val="21"/>
                <w:lang w:val="en-US" w:eastAsia="zh-CN"/>
              </w:rPr>
              <w:t>启行审备〔20</w:t>
            </w:r>
            <w:r>
              <w:rPr>
                <w:rFonts w:hint="eastAsia"/>
                <w:color w:val="auto"/>
                <w:szCs w:val="21"/>
                <w:lang w:val="en-US" w:eastAsia="zh-CN"/>
              </w:rPr>
              <w:t>24</w:t>
            </w:r>
            <w:r>
              <w:rPr>
                <w:rFonts w:hint="default" w:eastAsia="宋体"/>
                <w:color w:val="auto"/>
                <w:szCs w:val="21"/>
                <w:lang w:val="en-US" w:eastAsia="zh-CN"/>
              </w:rPr>
              <w:t>〕</w:t>
            </w:r>
            <w:r>
              <w:rPr>
                <w:rFonts w:hint="eastAsia"/>
                <w:color w:val="auto"/>
                <w:szCs w:val="21"/>
                <w:lang w:val="en-US" w:eastAsia="zh-CN"/>
              </w:rPr>
              <w:t>117</w:t>
            </w:r>
            <w:r>
              <w:rPr>
                <w:rFonts w:hint="default" w:eastAsia="宋体"/>
                <w:color w:val="auto"/>
                <w:szCs w:val="21"/>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总投资（万元）</w:t>
            </w:r>
          </w:p>
        </w:tc>
        <w:tc>
          <w:tcPr>
            <w:tcW w:w="2240"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68</w:t>
            </w:r>
          </w:p>
        </w:tc>
        <w:tc>
          <w:tcPr>
            <w:tcW w:w="2025" w:type="dxa"/>
            <w:gridSpan w:val="2"/>
            <w:noWrap w:val="0"/>
            <w:tcMar>
              <w:top w:w="16" w:type="dxa"/>
              <w:left w:w="16" w:type="dxa"/>
              <w:right w:w="16" w:type="dxa"/>
            </w:tcMar>
            <w:vAlign w:val="center"/>
          </w:tcPr>
          <w:p>
            <w:pPr>
              <w:adjustRightInd w:val="0"/>
              <w:snapToGrid w:val="0"/>
              <w:jc w:val="center"/>
              <w:rPr>
                <w:color w:val="auto"/>
                <w:szCs w:val="21"/>
              </w:rPr>
            </w:pPr>
            <w:r>
              <w:rPr>
                <w:color w:val="auto"/>
                <w:szCs w:val="21"/>
              </w:rPr>
              <w:t>环保投资（万元）</w:t>
            </w:r>
          </w:p>
        </w:tc>
        <w:tc>
          <w:tcPr>
            <w:tcW w:w="3047"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环保投资占比（%）</w:t>
            </w:r>
          </w:p>
        </w:tc>
        <w:tc>
          <w:tcPr>
            <w:tcW w:w="2240"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29.4</w:t>
            </w:r>
          </w:p>
        </w:tc>
        <w:tc>
          <w:tcPr>
            <w:tcW w:w="2025" w:type="dxa"/>
            <w:gridSpan w:val="2"/>
            <w:noWrap w:val="0"/>
            <w:tcMar>
              <w:top w:w="16" w:type="dxa"/>
              <w:left w:w="16" w:type="dxa"/>
              <w:right w:w="16" w:type="dxa"/>
            </w:tcMar>
            <w:vAlign w:val="center"/>
          </w:tcPr>
          <w:p>
            <w:pPr>
              <w:adjustRightInd w:val="0"/>
              <w:snapToGrid w:val="0"/>
              <w:jc w:val="center"/>
              <w:rPr>
                <w:color w:val="auto"/>
                <w:szCs w:val="21"/>
              </w:rPr>
            </w:pPr>
            <w:r>
              <w:rPr>
                <w:color w:val="auto"/>
                <w:szCs w:val="21"/>
              </w:rPr>
              <w:t>施工工期</w:t>
            </w:r>
          </w:p>
        </w:tc>
        <w:tc>
          <w:tcPr>
            <w:tcW w:w="3047"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558" w:type="dxa"/>
            <w:noWrap w:val="0"/>
            <w:tcMar>
              <w:top w:w="16" w:type="dxa"/>
              <w:left w:w="16" w:type="dxa"/>
              <w:right w:w="16" w:type="dxa"/>
            </w:tcMar>
            <w:vAlign w:val="center"/>
          </w:tcPr>
          <w:p>
            <w:pPr>
              <w:adjustRightInd w:val="0"/>
              <w:snapToGrid w:val="0"/>
              <w:jc w:val="center"/>
              <w:rPr>
                <w:color w:val="auto"/>
                <w:szCs w:val="21"/>
              </w:rPr>
            </w:pPr>
            <w:r>
              <w:rPr>
                <w:color w:val="auto"/>
                <w:szCs w:val="21"/>
              </w:rPr>
              <w:t>是否开工建设</w:t>
            </w:r>
          </w:p>
        </w:tc>
        <w:tc>
          <w:tcPr>
            <w:tcW w:w="2240" w:type="dxa"/>
            <w:noWrap w:val="0"/>
            <w:vAlign w:val="center"/>
          </w:tcPr>
          <w:p>
            <w:pPr>
              <w:adjustRightInd w:val="0"/>
              <w:snapToGrid w:val="0"/>
              <w:rPr>
                <w:color w:val="auto"/>
                <w:szCs w:val="21"/>
              </w:rPr>
            </w:pPr>
            <w:r>
              <w:rPr>
                <w:rFonts w:hint="eastAsia" w:ascii="MS Mincho" w:hAnsi="MS Mincho" w:eastAsia="MS Mincho" w:cs="MS Mincho"/>
                <w:color w:val="auto"/>
                <w:sz w:val="20"/>
                <w:szCs w:val="20"/>
                <w:shd w:val="clear" w:color="auto" w:fill="FFFFFF"/>
              </w:rPr>
              <w:t>☑</w:t>
            </w:r>
            <w:r>
              <w:rPr>
                <w:color w:val="auto"/>
                <w:szCs w:val="21"/>
              </w:rPr>
              <w:t>否</w:t>
            </w:r>
          </w:p>
          <w:p>
            <w:pPr>
              <w:adjustRightInd w:val="0"/>
              <w:snapToGrid w:val="0"/>
              <w:rPr>
                <w:rFonts w:hint="default"/>
                <w:color w:val="auto"/>
                <w:szCs w:val="21"/>
                <w:lang w:val="en-US"/>
              </w:rPr>
            </w:pPr>
            <w:r>
              <w:rPr>
                <w:color w:val="auto"/>
                <w:szCs w:val="21"/>
              </w:rPr>
              <w:sym w:font="Wingdings 2" w:char="00A3"/>
            </w:r>
            <w:r>
              <w:rPr>
                <w:color w:val="auto"/>
                <w:szCs w:val="21"/>
              </w:rPr>
              <w:t>是：</w:t>
            </w:r>
            <w:r>
              <w:rPr>
                <w:rFonts w:hint="eastAsia"/>
                <w:color w:val="auto"/>
                <w:szCs w:val="21"/>
                <w:u w:val="single"/>
                <w:lang w:val="en-US" w:eastAsia="zh-CN"/>
              </w:rPr>
              <w:t xml:space="preserve">             </w:t>
            </w:r>
          </w:p>
        </w:tc>
        <w:tc>
          <w:tcPr>
            <w:tcW w:w="2025" w:type="dxa"/>
            <w:gridSpan w:val="2"/>
            <w:noWrap w:val="0"/>
            <w:tcMar>
              <w:top w:w="16" w:type="dxa"/>
              <w:left w:w="16" w:type="dxa"/>
              <w:right w:w="16" w:type="dxa"/>
            </w:tcMar>
            <w:vAlign w:val="center"/>
          </w:tcPr>
          <w:p>
            <w:pPr>
              <w:adjustRightInd w:val="0"/>
              <w:snapToGrid w:val="0"/>
              <w:jc w:val="center"/>
              <w:rPr>
                <w:color w:val="auto"/>
                <w:spacing w:val="0"/>
                <w:sz w:val="21"/>
                <w:szCs w:val="21"/>
              </w:rPr>
            </w:pPr>
            <w:r>
              <w:rPr>
                <w:color w:val="auto"/>
                <w:spacing w:val="0"/>
                <w:sz w:val="21"/>
                <w:szCs w:val="21"/>
              </w:rPr>
              <w:t>用地（用海）</w:t>
            </w:r>
          </w:p>
          <w:p>
            <w:pPr>
              <w:adjustRightInd w:val="0"/>
              <w:snapToGrid w:val="0"/>
              <w:jc w:val="center"/>
              <w:rPr>
                <w:color w:val="auto"/>
                <w:szCs w:val="21"/>
              </w:rPr>
            </w:pPr>
            <w:r>
              <w:rPr>
                <w:color w:val="auto"/>
                <w:spacing w:val="0"/>
                <w:sz w:val="21"/>
                <w:szCs w:val="21"/>
              </w:rPr>
              <w:t>面积（m</w:t>
            </w:r>
            <w:r>
              <w:rPr>
                <w:color w:val="auto"/>
                <w:spacing w:val="0"/>
                <w:sz w:val="21"/>
                <w:szCs w:val="21"/>
                <w:vertAlign w:val="superscript"/>
              </w:rPr>
              <w:t>2</w:t>
            </w:r>
            <w:r>
              <w:rPr>
                <w:color w:val="auto"/>
                <w:spacing w:val="0"/>
                <w:sz w:val="21"/>
                <w:szCs w:val="21"/>
              </w:rPr>
              <w:t>）</w:t>
            </w:r>
          </w:p>
        </w:tc>
        <w:tc>
          <w:tcPr>
            <w:tcW w:w="3047"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8" w:type="dxa"/>
            <w:noWrap w:val="0"/>
            <w:vAlign w:val="center"/>
          </w:tcPr>
          <w:p>
            <w:pPr>
              <w:autoSpaceDE w:val="0"/>
              <w:autoSpaceDN w:val="0"/>
              <w:adjustRightInd w:val="0"/>
              <w:snapToGrid w:val="0"/>
              <w:jc w:val="center"/>
              <w:rPr>
                <w:color w:val="auto"/>
                <w:kern w:val="0"/>
                <w:szCs w:val="21"/>
              </w:rPr>
            </w:pPr>
            <w:r>
              <w:rPr>
                <w:color w:val="auto"/>
                <w:kern w:val="0"/>
                <w:szCs w:val="21"/>
              </w:rPr>
              <w:t>专项评价设置情况</w:t>
            </w:r>
          </w:p>
        </w:tc>
        <w:tc>
          <w:tcPr>
            <w:tcW w:w="7312" w:type="dxa"/>
            <w:gridSpan w:val="4"/>
            <w:noWrap w:val="0"/>
            <w:vAlign w:val="center"/>
          </w:tcPr>
          <w:p>
            <w:pPr>
              <w:autoSpaceDE w:val="0"/>
              <w:autoSpaceDN w:val="0"/>
              <w:adjustRightInd w:val="0"/>
              <w:snapToGrid w:val="0"/>
              <w:jc w:val="center"/>
              <w:rPr>
                <w:color w:val="auto"/>
                <w:kern w:val="0"/>
                <w:szCs w:val="21"/>
              </w:rPr>
            </w:pPr>
            <w:r>
              <w:rPr>
                <w:color w:val="auto"/>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558" w:type="dxa"/>
            <w:noWrap w:val="0"/>
            <w:vAlign w:val="center"/>
          </w:tcPr>
          <w:p>
            <w:pPr>
              <w:autoSpaceDE w:val="0"/>
              <w:autoSpaceDN w:val="0"/>
              <w:adjustRightInd w:val="0"/>
              <w:snapToGrid w:val="0"/>
              <w:jc w:val="center"/>
              <w:rPr>
                <w:color w:val="auto"/>
                <w:kern w:val="0"/>
                <w:szCs w:val="21"/>
              </w:rPr>
            </w:pPr>
            <w:r>
              <w:rPr>
                <w:color w:val="auto"/>
                <w:szCs w:val="21"/>
              </w:rPr>
              <w:t>规划情况</w:t>
            </w:r>
          </w:p>
        </w:tc>
        <w:tc>
          <w:tcPr>
            <w:tcW w:w="7312"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eastAsia="宋体"/>
                <w:color w:val="auto"/>
                <w:kern w:val="0"/>
                <w:szCs w:val="21"/>
                <w:lang w:eastAsia="zh-CN"/>
              </w:rPr>
            </w:pPr>
            <w:r>
              <w:rPr>
                <w:rFonts w:hint="eastAsia" w:eastAsia="宋体"/>
                <w:color w:val="auto"/>
                <w:kern w:val="0"/>
                <w:szCs w:val="21"/>
                <w:lang w:eastAsia="zh-CN"/>
              </w:rPr>
              <w:t>规划名称：启东市城市总体规划（2012-2030）</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eastAsia="宋体"/>
                <w:color w:val="auto"/>
                <w:kern w:val="0"/>
                <w:szCs w:val="21"/>
                <w:lang w:eastAsia="zh-CN"/>
              </w:rPr>
            </w:pPr>
            <w:r>
              <w:rPr>
                <w:rFonts w:hint="eastAsia" w:eastAsia="宋体"/>
                <w:color w:val="auto"/>
                <w:kern w:val="0"/>
                <w:szCs w:val="21"/>
                <w:lang w:eastAsia="zh-CN"/>
              </w:rPr>
              <w:t>审批机关：江苏省人民政府</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eastAsia="宋体"/>
                <w:color w:val="auto"/>
                <w:kern w:val="0"/>
                <w:szCs w:val="21"/>
                <w:lang w:eastAsia="zh-CN"/>
              </w:rPr>
            </w:pPr>
            <w:r>
              <w:rPr>
                <w:rFonts w:hint="eastAsia" w:eastAsia="宋体"/>
                <w:color w:val="auto"/>
                <w:kern w:val="0"/>
                <w:szCs w:val="21"/>
                <w:lang w:eastAsia="zh-CN"/>
              </w:rPr>
              <w:t>审查文件名称及文号：省政府关于启东市城市总体规划的批复，苏政复</w:t>
            </w:r>
            <w:r>
              <w:rPr>
                <w:rFonts w:hint="eastAsia" w:ascii="宋体" w:hAnsi="宋体" w:eastAsia="宋体" w:cs="宋体"/>
                <w:color w:val="auto"/>
                <w:kern w:val="0"/>
                <w:szCs w:val="21"/>
                <w:lang w:eastAsia="zh-CN"/>
              </w:rPr>
              <w:t>﹝</w:t>
            </w:r>
            <w:r>
              <w:rPr>
                <w:rFonts w:hint="eastAsia" w:eastAsia="宋体"/>
                <w:color w:val="auto"/>
                <w:kern w:val="0"/>
                <w:szCs w:val="21"/>
                <w:lang w:eastAsia="zh-CN"/>
              </w:rPr>
              <w:t>2013</w:t>
            </w:r>
            <w:r>
              <w:rPr>
                <w:rFonts w:hint="eastAsia" w:ascii="宋体" w:hAnsi="宋体" w:eastAsia="宋体" w:cs="宋体"/>
                <w:color w:val="auto"/>
                <w:kern w:val="0"/>
                <w:szCs w:val="21"/>
                <w:lang w:eastAsia="zh-CN"/>
              </w:rPr>
              <w:t>﹞</w:t>
            </w:r>
            <w:r>
              <w:rPr>
                <w:rFonts w:hint="eastAsia" w:eastAsia="宋体"/>
                <w:color w:val="auto"/>
                <w:kern w:val="0"/>
                <w:szCs w:val="21"/>
                <w:lang w:eastAsia="zh-CN"/>
              </w:rPr>
              <w:t>69号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58" w:type="dxa"/>
            <w:noWrap w:val="0"/>
            <w:vAlign w:val="center"/>
          </w:tcPr>
          <w:p>
            <w:pPr>
              <w:adjustRightInd w:val="0"/>
              <w:snapToGrid w:val="0"/>
              <w:jc w:val="center"/>
              <w:rPr>
                <w:color w:val="auto"/>
                <w:kern w:val="0"/>
                <w:szCs w:val="21"/>
              </w:rPr>
            </w:pPr>
            <w:r>
              <w:rPr>
                <w:color w:val="auto"/>
                <w:szCs w:val="21"/>
              </w:rPr>
              <w:t>规划环境影响评价情况</w:t>
            </w:r>
          </w:p>
        </w:tc>
        <w:tc>
          <w:tcPr>
            <w:tcW w:w="7312"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cs="Times New Roman"/>
                <w:color w:val="auto"/>
                <w:kern w:val="0"/>
                <w:szCs w:val="21"/>
                <w:lang w:eastAsia="zh-CN"/>
              </w:rPr>
            </w:pPr>
            <w:r>
              <w:rPr>
                <w:rFonts w:hint="eastAsia" w:cs="Times New Roman"/>
                <w:color w:val="auto"/>
                <w:kern w:val="0"/>
                <w:szCs w:val="21"/>
                <w:lang w:eastAsia="zh-CN"/>
              </w:rPr>
              <w:t>规划环评名称：《江苏省启东经济开发区开发建设规划》（</w:t>
            </w:r>
            <w:r>
              <w:rPr>
                <w:rFonts w:hint="eastAsia" w:cs="Times New Roman"/>
                <w:color w:val="auto"/>
                <w:kern w:val="0"/>
                <w:szCs w:val="21"/>
                <w:lang w:val="en-US" w:eastAsia="zh-CN"/>
              </w:rPr>
              <w:t>2020-2030</w:t>
            </w:r>
            <w:r>
              <w:rPr>
                <w:rFonts w:hint="eastAsia" w:cs="Times New Roman"/>
                <w:color w:val="auto"/>
                <w:kern w:val="0"/>
                <w:szCs w:val="21"/>
                <w:lang w:eastAsia="zh-CN"/>
              </w:rPr>
              <w:t>）环境影响报告书》</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cs="Times New Roman"/>
                <w:color w:val="auto"/>
                <w:kern w:val="0"/>
                <w:szCs w:val="21"/>
                <w:lang w:eastAsia="zh-CN"/>
              </w:rPr>
            </w:pPr>
            <w:r>
              <w:rPr>
                <w:rFonts w:hint="eastAsia" w:cs="Times New Roman"/>
                <w:color w:val="auto"/>
                <w:kern w:val="0"/>
                <w:szCs w:val="21"/>
                <w:lang w:eastAsia="zh-CN"/>
              </w:rPr>
              <w:t>召集审查机关：江苏省生态环境厅</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审查文件名称及文号：省生态环境厅关于江苏省启东经济开发区开发建设规划（2020-2030）环境影响报告书审查意见，苏环审（2020）44号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558" w:type="dxa"/>
            <w:noWrap w:val="0"/>
            <w:vAlign w:val="center"/>
          </w:tcPr>
          <w:p>
            <w:pPr>
              <w:adjustRightInd w:val="0"/>
              <w:snapToGrid w:val="0"/>
              <w:jc w:val="center"/>
              <w:rPr>
                <w:color w:val="auto"/>
                <w:szCs w:val="21"/>
              </w:rPr>
            </w:pPr>
            <w:r>
              <w:rPr>
                <w:color w:val="auto"/>
                <w:kern w:val="0"/>
                <w:szCs w:val="21"/>
              </w:rPr>
              <w:t>规划及规划环境影响评价符合性分析</w:t>
            </w:r>
          </w:p>
        </w:tc>
        <w:tc>
          <w:tcPr>
            <w:tcW w:w="7312"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eastAsia"/>
                <w:lang w:val="en-US" w:eastAsia="zh-CN"/>
              </w:rPr>
            </w:pPr>
            <w:r>
              <w:rPr>
                <w:rFonts w:hint="eastAsia"/>
                <w:lang w:val="en-US" w:eastAsia="zh-CN"/>
              </w:rPr>
              <w:t>1、与江苏省启东经济开发区开发建设规划相符性分析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一、用地规划</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江苏启东经济开发区用地规划分为工业用地、公用设施用地、道路与交通设施用地、物流仓储用地、绿地与广场用地等。</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本项目所在用地为工业用地，符合江苏省启东经济开发区用地规划。</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二、产业规划</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启东经济开发区内的工业用地分为五大组团，一个电镀中心、一个科技创新园。五大工业组团分别为机械电子产业园、光伏新能源产业园、生物医药产业园、文化产业园、LED光电产业园。</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（1）机械电子产业园</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位于南苑路两侧、西苑路东侧，华石路西侧，占地面积478.01公顷。入驻企业类型主要包括了机械、电子、机电一体化等，其中机电产品以润滑设备、油泵阀门等精密器械以及汽车制造、销售等为主；电子信息产品主要以现代通信、电子元器件、仪器仪表、集成电路封装等特色产品为主。机械产品主要从零件生产、科技研发、服务及销售等方面形成产业链。</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（2）光伏新能源产业园</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位于牡丹江路北侧、人民路南侧、腾飞路西侧，占地面积为 80.74 公顷。区域以韩华新能源为龙头，重点发展光伏新能源的上下游企业，核电风电配套设备制造企业，新型高效能量转换、输变电成套设备等新能源装备制造企业。</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（3）生物医药产业园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位于牡丹江路南侧、华石路西侧、金沙江路北侧、新洪路东侧，占地30.36公顷。产业主要为生物技术研究及产品研发，开发海洋药物、海洋生物制品等。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（4）文化产业园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位于世纪大道北侧，新洪路东侧、华石路西侧，占地面的30.37公顷。主要以文化背景、以高科技产业为依附，通过文化与科技的结合，创建各类科技创意产业基地、特色文化产业基地等。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（5）LED 光电产业园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位于世纪大道南侧、华石路西侧、新洪路东侧、迎春路北侧，占地面积94.84公顷。主要以LED应用产品制造为主，形成以LED节能、照明、服务、光电机电一体化制造等为一体的产业中心。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（6）科技创新园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位于世纪大道南侧、钱塘江路北侧、华石路东侧、头兴港河西侧，占地面积254.34 公顷，该地块用地性质主要为生产研发/工业兼容地，所涉及的产业主要以科技研发、互联网+产业为主。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（7）电镀中心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位于南苑路以南、牡丹江路以北、新洪路以东、启东市城市水处理有限公司以西，占地面积 6.67 公顷。本区主要以电镀加工为主。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color w:val="auto"/>
                <w:lang w:val="en-US" w:eastAsia="zh-CN"/>
              </w:rPr>
            </w:pPr>
            <w:r>
              <w:rPr>
                <w:rFonts w:hint="eastAsia"/>
                <w:color w:val="auto"/>
                <w:lang w:val="en-US" w:eastAsia="zh-CN"/>
              </w:rPr>
              <w:t>本项目属于纺织服装行业，位于电子信息产业园，不属于电子信息产业，不属于《江苏省启东经济开发区开发建设规划（2020-2030）环境影响报告书》中禁止进区项目清单，本项目污染较小；生产中不使用淘汰类设备、技术，物耗、能耗以及水耗较低；不属于国家产业政策和工商投资名录中明令禁止的项目；污染治理措施符合《挥发性有机物（VOCs）污染防治技术政策》、《江苏省重点行业挥发性有机物污染控制指南》等要求；不属于禁止进区项目，属于允许类项目与规</w:t>
            </w:r>
            <w:r>
              <w:rPr>
                <w:rFonts w:hint="eastAsia"/>
                <w:color w:val="auto"/>
                <w:highlight w:val="none"/>
                <w:lang w:val="en-US" w:eastAsia="zh-CN"/>
              </w:rPr>
              <w:t>划相符。</w:t>
            </w:r>
            <w:r>
              <w:rPr>
                <w:rFonts w:hint="eastAsia"/>
                <w:color w:val="auto"/>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三、基础设施规划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 xml:space="preserve">（1）给水工程规划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采用区域供水（南通洪港水厂），长江为主水源，头兴港河为应急水源。预测总用水量为15.66万立方米/日。结合开发区发展需求，规划给水管网适度超前，预留容量。给水管网呈环状布置，结合开发区内整体用水需求，规划到干管、支管。开发区给水主干管从区域输水管引入，分别沿滨湖路、林洋路、华石路、紫薇路、人民西路、牡丹江西路、世纪大道、钱塘江路及新安江路敷设，管径为DN500～1000毫米。给水次干管主要沿海洪路、西苑路、南苑路布置，管径均为DN400毫米，其它道路下布置给水次、支管，管径为DN300～DN200毫米。</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本项目位于江苏省南通市启东市经济技术开发区人民西路3333号，租赁厂区已接管区域自来水管网。</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（2）雨水工程规划</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规划采用雨、污分流制排水系统，雨水就近排入水体，充分发挥和利用现有河流的泄水能力和调蓄能力。雨水管道沿滨湖路南段、林洋路、华石路、海洪路北段、南苑路、牡丹江西路、世纪大道、钱塘江路道路下两侧布置，其余道路下单侧布置。雨水管道在道路下位置，两侧布置以慢车道或人行道为主，单侧布置以车行道中间偏东侧、南侧为主。一般情况下干管起点覆土深地控制在1.3米左右。规划雨水管道最大管径d1200毫米，最小管径d400毫米。</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本项目位于江苏省南通市启东市经济技术开发区人民西路3333号，租赁企业内雨水管网已接入园区雨水管网中。</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（3）排水工程规划</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根据《启东市城市排水工程规划（2012-2030）》，启东经济开发区本轮规划范围主要涉及城西Ⅰ区、城西Ⅱ区、城西Ⅲ区、城南I区、城中区5个污水片区。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本轮规划开发区废水全部接入启东市城市污水处理厂进行处理，待启东第二污水处理厂建成后城西Ⅲ区的废水接入启东第二污水处理厂集中处理。启东第二污水处理厂控制用地 21.7 公顷，污水处理规模为 10 万立方米/日，出水满足一级A排放标准后排入长江。启东城市污水处理厂控制用地9.2公顷，污水处理规模为 9.0 万立方米/日；启东市城市污水处理厂已建成总规模9万m</w:t>
            </w:r>
            <w:r>
              <w:rPr>
                <w:rFonts w:hint="eastAsia"/>
                <w:vertAlign w:val="superscript"/>
                <w:lang w:val="en-US" w:eastAsia="zh-CN"/>
              </w:rPr>
              <w:t>3</w:t>
            </w:r>
            <w:r>
              <w:rPr>
                <w:rFonts w:hint="eastAsia"/>
                <w:lang w:val="en-US" w:eastAsia="zh-CN"/>
              </w:rPr>
              <w:t>/d，分三期建设。服务范围为启东市主城区、开发区及城北工业区。目前一、二期工程处理规模各2.5万m</w:t>
            </w:r>
            <w:r>
              <w:rPr>
                <w:rFonts w:hint="eastAsia"/>
                <w:vertAlign w:val="superscript"/>
                <w:lang w:val="en-US" w:eastAsia="zh-CN"/>
              </w:rPr>
              <w:t>3</w:t>
            </w:r>
            <w:r>
              <w:rPr>
                <w:rFonts w:hint="eastAsia"/>
                <w:lang w:val="en-US" w:eastAsia="zh-CN"/>
              </w:rPr>
              <w:t>/d及三期工程处理规模4万m</w:t>
            </w:r>
            <w:r>
              <w:rPr>
                <w:rFonts w:hint="eastAsia"/>
                <w:vertAlign w:val="superscript"/>
                <w:lang w:val="en-US" w:eastAsia="zh-CN"/>
              </w:rPr>
              <w:t>3</w:t>
            </w:r>
            <w:r>
              <w:rPr>
                <w:rFonts w:hint="eastAsia"/>
                <w:lang w:val="en-US" w:eastAsia="zh-CN"/>
              </w:rPr>
              <w:t>/d均已建成并正式运行，现实际处理量为6.4万m</w:t>
            </w:r>
            <w:r>
              <w:rPr>
                <w:rFonts w:hint="eastAsia"/>
                <w:vertAlign w:val="superscript"/>
                <w:lang w:val="en-US" w:eastAsia="zh-CN"/>
              </w:rPr>
              <w:t>3</w:t>
            </w:r>
            <w:r>
              <w:rPr>
                <w:rFonts w:hint="eastAsia"/>
                <w:lang w:val="en-US" w:eastAsia="zh-CN"/>
              </w:rPr>
              <w:t>/d。一、二期工程采用的工艺为厌氧池＋orbal氧化沟工艺。污水厂尾水执行《城镇污水处理厂污染物排放标准》（GB18918-2002）表1中一级A标准。废水最终经专管排入长江。</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①规划沿滨湖路、林洋路、华石路、海洪路、新洪路敷设五条纵向污水干管，管径分别为d500～1200毫米，污水经纵向干管收集汇入南苑路、牡丹江西路规划d800～d1200 毫米横向污水干管，最终汇入污水处理厂。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②污水管道在道路下位置原则上布置在路西、路北。</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③规划污水管道最大管径d1200毫米，最小管径d300毫米。</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本项目位于江苏省南通市启东市经济技术开发区人民西路3333号，租赁企业污水管网已接入城市污水处理厂集中收集管网中。</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（4）燃气工程规划</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规划开发区以管道天然气为主气源，瓶装液化气作为辅助气源。近期燃气管道引自南苑路南侧、海洪路西侧的华润燃气公司，气源采用液化天然气（LNG）为主，压缩天然气（CNG）为辅。远期随着“西气东输”工程天然气引入启东市，气源采用“西气东输”工程天然气，引自兴港河东侧启东市天然气调压计量站。</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燃气输配规划：</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开发区内实行中压—低压两级压力级制，中压设计压力0.4兆帕。中压燃气由启东市天然气调压计量站引入，沿市政道路敷设中压燃气干管。规划区内在南苑路和海洪路交叉口西南侧规划一处供燃气用地，用地面积为3.38公顷，以天然气为主气源。规划区内总用气量为2003.3万标立方米/年。</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①城市燃气中压管网沿主要干道布置，采用枝状与环状网络相结合的布置方式，实现稳定供气。庭院管则采用枝状布置。中压燃气干管管材以 PE 管为主。</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②新建中压管网沿市政道路布置。管位以道路西侧、北侧为主，一般设在人行道或绿化带下。</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③开发区内设置5处中低压区域调压站，每处调压站预留建设用地100平方米，低压管道供气半径控制在800米以内。</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本项目位于江苏省南通市启东市经济技术开发区人民西路3333号，租赁厂区已接管园区供气管网。</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（5）固废处置规划</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生活垃圾由当地的环卫部门清理后送江苏启东市天楹环保能源科技有限公司处理；危险固废处置由企业自行委托其它有资质单位处理。一般工业固废主要采用综合利用和安全处置的方式进行处理。对本开发区可能出现的各种主要无害工业固废的处置途径作如下建议：一般工业边角料，废弃包装材料等按循环经济原则和理念尽可能在厂内回收利用，或送回厂家综合处理。</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本项目生活垃圾由环卫公司清运，一般固废委外资源化处置，危险固废委托有资质单位进行处理。</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园区生态环境准入清单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本项目位于启东经济技术开发区，与启东经济技术开发区生态环境准入清单相符性分析见表1-1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lang w:eastAsia="zh-CN"/>
              </w:rPr>
            </w:pPr>
            <w:r>
              <w:rPr>
                <w:rFonts w:hint="eastAsia"/>
                <w:b/>
                <w:bCs/>
                <w:lang w:eastAsia="zh-CN"/>
              </w:rPr>
              <w:t>表 1-</w:t>
            </w:r>
            <w:r>
              <w:rPr>
                <w:rFonts w:hint="eastAsia"/>
                <w:b/>
                <w:bCs/>
                <w:lang w:val="en-US" w:eastAsia="zh-CN"/>
              </w:rPr>
              <w:t xml:space="preserve">1 </w:t>
            </w:r>
            <w:r>
              <w:rPr>
                <w:rFonts w:hint="eastAsia"/>
                <w:b/>
                <w:bCs/>
                <w:lang w:eastAsia="zh-CN"/>
              </w:rPr>
              <w:t>拟建项目与启东经济技术开发区生态环境准入清单相符性分析一览表</w:t>
            </w:r>
          </w:p>
          <w:tbl>
            <w:tblPr>
              <w:tblStyle w:val="12"/>
              <w:tblW w:w="7070"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90"/>
              <w:gridCol w:w="3660"/>
              <w:gridCol w:w="1305"/>
              <w:gridCol w:w="121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890"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类别</w:t>
                  </w:r>
                </w:p>
              </w:tc>
              <w:tc>
                <w:tcPr>
                  <w:tcW w:w="3660"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准入清单、控制要求</w:t>
                  </w:r>
                </w:p>
              </w:tc>
              <w:tc>
                <w:tcPr>
                  <w:tcW w:w="1305"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本项目情况</w:t>
                  </w:r>
                </w:p>
              </w:tc>
              <w:tc>
                <w:tcPr>
                  <w:tcW w:w="1215"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相符性分析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890"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优先引入</w:t>
                  </w:r>
                </w:p>
              </w:tc>
              <w:tc>
                <w:tcPr>
                  <w:tcW w:w="3660" w:type="dxa"/>
                  <w:tcBorders>
                    <w:tl2br w:val="nil"/>
                    <w:tr2bl w:val="nil"/>
                  </w:tcBorders>
                  <w:vAlign w:val="center"/>
                </w:tcPr>
                <w:p>
                  <w:pPr>
                    <w:bidi w:val="0"/>
                    <w:jc w:val="both"/>
                    <w:rPr>
                      <w:rFonts w:hint="eastAsia"/>
                      <w:sz w:val="18"/>
                      <w:szCs w:val="18"/>
                      <w:lang w:eastAsia="zh-CN"/>
                    </w:rPr>
                  </w:pPr>
                  <w:r>
                    <w:rPr>
                      <w:rFonts w:hint="eastAsia"/>
                      <w:sz w:val="18"/>
                      <w:szCs w:val="18"/>
                      <w:lang w:eastAsia="zh-CN"/>
                    </w:rPr>
                    <w:t>机械电子产业园（包括机械电子产业、新能源产业、LED光电产业）：1、润滑设备、油泵阀门等精密器械；2、新能源汽车的制造；3、现代通信、电子元器件、仪器仪表、集成电路封装等特色产品；4、光伏电池及组件产品；5、光伏核心技术及产品；6、光电机电一体化制造。生物医药产业园：1、生物技术研究及产品研发；2、开发海洋药物、海洋生物制品。文化产业园：1、科技创意产业；2、特色文化产业基地等。</w:t>
                  </w:r>
                </w:p>
              </w:tc>
              <w:tc>
                <w:tcPr>
                  <w:tcW w:w="1305" w:type="dxa"/>
                  <w:tcBorders>
                    <w:tl2br w:val="nil"/>
                    <w:tr2bl w:val="nil"/>
                  </w:tcBorders>
                  <w:vAlign w:val="center"/>
                </w:tcPr>
                <w:p>
                  <w:pPr>
                    <w:pStyle w:val="5"/>
                  </w:pPr>
                  <w:r>
                    <w:rPr>
                      <w:rFonts w:hint="eastAsia" w:ascii="Times New Roman" w:hAnsi="Times New Roman" w:eastAsia="宋体" w:cs="Times New Roman"/>
                      <w:kern w:val="2"/>
                      <w:sz w:val="18"/>
                      <w:szCs w:val="18"/>
                      <w:lang w:val="en-US" w:eastAsia="zh-CN" w:bidi="ar-SA"/>
                    </w:rPr>
                    <w:t>属于C1829其他针织或钩针编织服装制造</w:t>
                  </w:r>
                </w:p>
                <w:p>
                  <w:pPr>
                    <w:bidi w:val="0"/>
                    <w:jc w:val="center"/>
                    <w:rPr>
                      <w:rFonts w:hint="eastAsia"/>
                      <w:sz w:val="18"/>
                      <w:szCs w:val="18"/>
                      <w:lang w:eastAsia="zh-CN"/>
                    </w:rPr>
                  </w:pPr>
                </w:p>
              </w:tc>
              <w:tc>
                <w:tcPr>
                  <w:tcW w:w="1215" w:type="dxa"/>
                  <w:tcBorders>
                    <w:tl2br w:val="nil"/>
                    <w:tr2bl w:val="nil"/>
                  </w:tcBorders>
                  <w:vAlign w:val="center"/>
                </w:tcPr>
                <w:p>
                  <w:pPr>
                    <w:bidi w:val="0"/>
                    <w:jc w:val="center"/>
                    <w:rPr>
                      <w:rFonts w:hint="default"/>
                      <w:sz w:val="18"/>
                      <w:szCs w:val="18"/>
                      <w:lang w:val="en-US" w:eastAsia="zh-CN"/>
                    </w:rPr>
                  </w:pPr>
                  <w:r>
                    <w:rPr>
                      <w:rFonts w:hint="eastAsia"/>
                      <w:sz w:val="18"/>
                      <w:szCs w:val="18"/>
                      <w:lang w:eastAsia="zh-CN"/>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890"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禁止引入</w:t>
                  </w:r>
                </w:p>
              </w:tc>
              <w:tc>
                <w:tcPr>
                  <w:tcW w:w="3660" w:type="dxa"/>
                  <w:tcBorders>
                    <w:tl2br w:val="nil"/>
                    <w:tr2bl w:val="nil"/>
                  </w:tcBorders>
                  <w:vAlign w:val="center"/>
                </w:tcPr>
                <w:p>
                  <w:pPr>
                    <w:bidi w:val="0"/>
                    <w:jc w:val="both"/>
                    <w:rPr>
                      <w:rFonts w:hint="eastAsia"/>
                      <w:sz w:val="18"/>
                      <w:szCs w:val="18"/>
                      <w:lang w:eastAsia="zh-CN"/>
                    </w:rPr>
                  </w:pPr>
                  <w:r>
                    <w:rPr>
                      <w:rFonts w:hint="eastAsia"/>
                      <w:sz w:val="18"/>
                      <w:szCs w:val="18"/>
                      <w:lang w:eastAsia="zh-CN"/>
                    </w:rPr>
                    <w:t>机电：电镀工艺环节可以拆分的机械电子信息项目、普通电子元件器件项目、普通印刷线路板等；VOCs 排放量超过总量管控指标的项目；燃油汽车；LED光电：使用液态汞和手动注汞的荧光灯制造项目、纯电镀项目；VOCs 排放量超过总量管控指标的项目；新能源：太阳能光伏产业上游企业（单晶、多晶硅棒生产）；铅蓄电池生产项目；VOCs排放量超过总量管控指标的项目；生物医药：医药中间体、原料药生产项目等含化工工艺的项目、不符合GMP要求的药品项目；文化：造纸、颜料生产、VOCs排放量超过总量管控指标的项目；其它：1、《产业结构调整指导目录》、《江苏省工业和信息产业结构调整指导目录（2012年本）》限制类、淘汰类项目。2、《江苏省工业和信息产业结构调整限制淘汰目录和能耗限额（2015年本）》禁止、淘汰、不满足能耗要求的项目。3、污染治理措施达不到《挥发性有机物（VOCs）污染防治技术政策》《江苏省重点行业挥发性有机物污染控制指南》等要求的项目。</w:t>
                  </w:r>
                </w:p>
              </w:tc>
              <w:tc>
                <w:tcPr>
                  <w:tcW w:w="1305"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本项目产品为服装，不在禁止引入清单内</w:t>
                  </w:r>
                </w:p>
              </w:tc>
              <w:tc>
                <w:tcPr>
                  <w:tcW w:w="1215"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相符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890" w:type="dxa"/>
                  <w:tcBorders>
                    <w:tl2br w:val="nil"/>
                    <w:tr2bl w:val="nil"/>
                  </w:tcBorders>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空间管制要求控制</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禁止引入的项</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目</w:t>
                  </w:r>
                </w:p>
                <w:p>
                  <w:pPr>
                    <w:bidi w:val="0"/>
                    <w:jc w:val="center"/>
                    <w:rPr>
                      <w:rFonts w:hint="eastAsia"/>
                      <w:sz w:val="18"/>
                      <w:szCs w:val="18"/>
                      <w:lang w:eastAsia="zh-CN"/>
                    </w:rPr>
                  </w:pPr>
                </w:p>
              </w:tc>
              <w:tc>
                <w:tcPr>
                  <w:tcW w:w="3660" w:type="dxa"/>
                  <w:tcBorders>
                    <w:tl2br w:val="nil"/>
                    <w:tr2bl w:val="nil"/>
                  </w:tcBorders>
                  <w:vAlign w:val="center"/>
                </w:tcPr>
                <w:p>
                  <w:pPr>
                    <w:keepNext w:val="0"/>
                    <w:keepLines w:val="0"/>
                    <w:widowControl/>
                    <w:suppressLineNumbers w:val="0"/>
                    <w:jc w:val="left"/>
                    <w:rPr>
                      <w:rFonts w:hint="eastAsia"/>
                      <w:sz w:val="18"/>
                      <w:szCs w:val="18"/>
                      <w:lang w:eastAsia="zh-CN"/>
                    </w:rPr>
                  </w:pPr>
                  <w:r>
                    <w:rPr>
                      <w:rFonts w:hint="eastAsia" w:ascii="宋体" w:hAnsi="宋体" w:eastAsia="宋体" w:cs="宋体"/>
                      <w:color w:val="000000"/>
                      <w:kern w:val="0"/>
                      <w:sz w:val="20"/>
                      <w:szCs w:val="20"/>
                      <w:lang w:val="en-US" w:eastAsia="zh-CN" w:bidi="ar"/>
                    </w:rPr>
                    <w:t xml:space="preserve">严格执行《江苏省长江经济带发展负面清单实施细则》、《关于促进长三角地区经济社会与生态环境保护协调发展的指导意见》、水十条、土十条、污染防治攻坚战等文件要求。位于海洪路以东的启东中学及其北面的居住区，被南、西、北三面工业用地包围，建议在其周边布置废气排放量小、无异味排放的工业企业，并设置至少 </w:t>
                  </w:r>
                  <w:r>
                    <w:rPr>
                      <w:rFonts w:hint="default" w:ascii="Times New Roman" w:hAnsi="Times New Roman" w:eastAsia="宋体" w:cs="Times New Roman"/>
                      <w:color w:val="000000"/>
                      <w:kern w:val="0"/>
                      <w:sz w:val="20"/>
                      <w:szCs w:val="20"/>
                      <w:lang w:val="en-US" w:eastAsia="zh-CN" w:bidi="ar"/>
                    </w:rPr>
                    <w:t xml:space="preserve">100m </w:t>
                  </w:r>
                  <w:r>
                    <w:rPr>
                      <w:rFonts w:hint="eastAsia" w:ascii="宋体" w:hAnsi="宋体" w:eastAsia="宋体" w:cs="宋体"/>
                      <w:color w:val="000000"/>
                      <w:kern w:val="0"/>
                      <w:sz w:val="20"/>
                      <w:szCs w:val="20"/>
                      <w:lang w:val="en-US" w:eastAsia="zh-CN" w:bidi="ar"/>
                    </w:rPr>
                    <w:t>的绿化隔离带。在开发区工业区与居住区之间设置至少</w:t>
                  </w:r>
                  <w:r>
                    <w:rPr>
                      <w:rFonts w:hint="default" w:ascii="Times New Roman" w:hAnsi="Times New Roman" w:eastAsia="宋体" w:cs="Times New Roman"/>
                      <w:color w:val="000000"/>
                      <w:kern w:val="0"/>
                      <w:sz w:val="20"/>
                      <w:szCs w:val="20"/>
                      <w:lang w:val="en-US" w:eastAsia="zh-CN" w:bidi="ar"/>
                    </w:rPr>
                    <w:t>100m</w:t>
                  </w:r>
                  <w:r>
                    <w:rPr>
                      <w:rFonts w:hint="eastAsia" w:ascii="宋体" w:hAnsi="宋体" w:eastAsia="宋体" w:cs="宋体"/>
                      <w:color w:val="000000"/>
                      <w:kern w:val="0"/>
                      <w:sz w:val="20"/>
                      <w:szCs w:val="20"/>
                      <w:lang w:val="en-US" w:eastAsia="zh-CN" w:bidi="ar"/>
                    </w:rPr>
                    <w:t>的绿化隔离带。启东城市污水处理厂、电镀中心周边设置至少</w:t>
                  </w:r>
                  <w:r>
                    <w:rPr>
                      <w:rFonts w:hint="default" w:ascii="Times New Roman" w:hAnsi="Times New Roman" w:eastAsia="宋体" w:cs="Times New Roman"/>
                      <w:color w:val="000000"/>
                      <w:kern w:val="0"/>
                      <w:sz w:val="20"/>
                      <w:szCs w:val="20"/>
                      <w:lang w:val="en-US" w:eastAsia="zh-CN" w:bidi="ar"/>
                    </w:rPr>
                    <w:t xml:space="preserve">200m </w:t>
                  </w:r>
                  <w:r>
                    <w:rPr>
                      <w:rFonts w:hint="eastAsia" w:ascii="宋体" w:hAnsi="宋体" w:eastAsia="宋体" w:cs="宋体"/>
                      <w:color w:val="000000"/>
                      <w:kern w:val="0"/>
                      <w:sz w:val="20"/>
                      <w:szCs w:val="20"/>
                      <w:lang w:val="en-US" w:eastAsia="zh-CN" w:bidi="ar"/>
                    </w:rPr>
                    <w:t>的空间防护距离。头兴港清水通道维护区即头兴港两侧</w:t>
                  </w:r>
                  <w:r>
                    <w:rPr>
                      <w:rFonts w:hint="default" w:ascii="Times New Roman" w:hAnsi="Times New Roman" w:eastAsia="宋体" w:cs="Times New Roman"/>
                      <w:color w:val="000000"/>
                      <w:kern w:val="0"/>
                      <w:sz w:val="20"/>
                      <w:szCs w:val="20"/>
                      <w:lang w:val="en-US" w:eastAsia="zh-CN" w:bidi="ar"/>
                    </w:rPr>
                    <w:t>500m</w:t>
                  </w:r>
                  <w:r>
                    <w:rPr>
                      <w:rFonts w:hint="eastAsia" w:ascii="宋体" w:hAnsi="宋体" w:eastAsia="宋体" w:cs="宋体"/>
                      <w:color w:val="000000"/>
                      <w:kern w:val="0"/>
                      <w:sz w:val="20"/>
                      <w:szCs w:val="20"/>
                      <w:lang w:val="en-US" w:eastAsia="zh-CN" w:bidi="ar"/>
                    </w:rPr>
                    <w:t>范围统一作为限建区，并按生态空间管控区域管控要求加强环境管理、对现有居民点生活污水进行统一接管，头兴港河清水通道维护区内的现有企业不再新改扩，停产企业不准复工投产，一律不再引进新企业，按照国土空间规划尽快制定相应配套政策，鼓励现有工业企业逐步退出。将开发区内基本农田作为禁建区。</w:t>
                  </w:r>
                </w:p>
              </w:tc>
              <w:tc>
                <w:tcPr>
                  <w:tcW w:w="1305" w:type="dxa"/>
                  <w:tcBorders>
                    <w:tl2br w:val="nil"/>
                    <w:tr2bl w:val="nil"/>
                  </w:tcBorders>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本项目不在 《江苏省长江经济带发展负面清单实施细则》禁止清单内；本项目用地为工业用地，本项目不在生态空间管控区域范围内</w:t>
                  </w:r>
                </w:p>
                <w:p>
                  <w:pPr>
                    <w:bidi w:val="0"/>
                    <w:jc w:val="center"/>
                    <w:rPr>
                      <w:rFonts w:hint="default"/>
                      <w:sz w:val="18"/>
                      <w:szCs w:val="18"/>
                      <w:lang w:val="en-US" w:eastAsia="zh-CN"/>
                    </w:rPr>
                  </w:pPr>
                </w:p>
              </w:tc>
              <w:tc>
                <w:tcPr>
                  <w:tcW w:w="1215"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相符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890" w:type="dxa"/>
                  <w:tcBorders>
                    <w:tl2br w:val="nil"/>
                    <w:tr2bl w:val="nil"/>
                  </w:tcBorders>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污染</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物排</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放总</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量控</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制（吨</w:t>
                  </w:r>
                </w:p>
                <w:p>
                  <w:pPr>
                    <w:keepNext w:val="0"/>
                    <w:keepLines w:val="0"/>
                    <w:widowControl/>
                    <w:suppressLineNumbers w:val="0"/>
                    <w:jc w:val="left"/>
                    <w:rPr>
                      <w:rFonts w:hint="eastAsia"/>
                      <w:sz w:val="18"/>
                      <w:szCs w:val="18"/>
                      <w:lang w:eastAsia="zh-CN"/>
                    </w:rPr>
                  </w:pPr>
                  <w:r>
                    <w:rPr>
                      <w:rFonts w:hint="eastAsia" w:ascii="宋体" w:hAnsi="宋体" w:eastAsia="宋体" w:cs="宋体"/>
                      <w:color w:val="000000"/>
                      <w:kern w:val="0"/>
                      <w:sz w:val="20"/>
                      <w:szCs w:val="20"/>
                      <w:lang w:val="en-US" w:eastAsia="zh-CN" w:bidi="ar"/>
                    </w:rPr>
                    <w:t>/年）</w:t>
                  </w:r>
                </w:p>
              </w:tc>
              <w:tc>
                <w:tcPr>
                  <w:tcW w:w="3660" w:type="dxa"/>
                  <w:tcBorders>
                    <w:tl2br w:val="nil"/>
                    <w:tr2bl w:val="nil"/>
                  </w:tcBorders>
                  <w:vAlign w:val="center"/>
                </w:tcPr>
                <w:p>
                  <w:pPr>
                    <w:keepNext w:val="0"/>
                    <w:keepLines w:val="0"/>
                    <w:widowControl/>
                    <w:suppressLineNumbers w:val="0"/>
                    <w:jc w:val="left"/>
                    <w:rPr>
                      <w:rFonts w:hint="eastAsia"/>
                      <w:sz w:val="18"/>
                      <w:szCs w:val="18"/>
                      <w:lang w:eastAsia="zh-CN"/>
                    </w:rPr>
                  </w:pPr>
                  <w:r>
                    <w:rPr>
                      <w:rFonts w:hint="eastAsia" w:ascii="宋体" w:hAnsi="宋体" w:eastAsia="宋体" w:cs="宋体"/>
                      <w:color w:val="000000"/>
                      <w:kern w:val="0"/>
                      <w:sz w:val="20"/>
                      <w:szCs w:val="20"/>
                      <w:lang w:val="en-US" w:eastAsia="zh-CN" w:bidi="ar"/>
                    </w:rPr>
                    <w:t>大气污染物（远期）：二氧化硫≤</w:t>
                  </w:r>
                  <w:r>
                    <w:rPr>
                      <w:rFonts w:hint="default" w:ascii="Times New Roman" w:hAnsi="Times New Roman" w:eastAsia="宋体" w:cs="Times New Roman"/>
                      <w:color w:val="000000"/>
                      <w:kern w:val="0"/>
                      <w:sz w:val="20"/>
                      <w:szCs w:val="20"/>
                      <w:lang w:val="en-US" w:eastAsia="zh-CN" w:bidi="ar"/>
                    </w:rPr>
                    <w:t>13.49</w:t>
                  </w:r>
                  <w:r>
                    <w:rPr>
                      <w:rFonts w:hint="eastAsia" w:ascii="宋体" w:hAnsi="宋体" w:eastAsia="宋体" w:cs="宋体"/>
                      <w:color w:val="000000"/>
                      <w:kern w:val="0"/>
                      <w:sz w:val="20"/>
                      <w:szCs w:val="20"/>
                      <w:lang w:val="en-US" w:eastAsia="zh-CN" w:bidi="ar"/>
                    </w:rPr>
                    <w:t>、氮氧化物≤</w:t>
                  </w:r>
                  <w:r>
                    <w:rPr>
                      <w:rFonts w:hint="default" w:ascii="Times New Roman" w:hAnsi="Times New Roman" w:eastAsia="宋体" w:cs="Times New Roman"/>
                      <w:color w:val="000000"/>
                      <w:kern w:val="0"/>
                      <w:sz w:val="20"/>
                      <w:szCs w:val="20"/>
                      <w:lang w:val="en-US" w:eastAsia="zh-CN" w:bidi="ar"/>
                    </w:rPr>
                    <w:t>32.31</w:t>
                  </w:r>
                  <w:r>
                    <w:rPr>
                      <w:rFonts w:hint="eastAsia" w:ascii="宋体" w:hAnsi="宋体" w:eastAsia="宋体" w:cs="宋体"/>
                      <w:color w:val="000000"/>
                      <w:kern w:val="0"/>
                      <w:sz w:val="20"/>
                      <w:szCs w:val="20"/>
                      <w:lang w:val="en-US" w:eastAsia="zh-CN" w:bidi="ar"/>
                    </w:rPr>
                    <w:t>、烟（粉）尘≤</w:t>
                  </w:r>
                  <w:r>
                    <w:rPr>
                      <w:rFonts w:hint="default" w:ascii="Times New Roman" w:hAnsi="Times New Roman" w:eastAsia="宋体" w:cs="Times New Roman"/>
                      <w:color w:val="000000"/>
                      <w:kern w:val="0"/>
                      <w:sz w:val="20"/>
                      <w:szCs w:val="20"/>
                      <w:lang w:val="en-US" w:eastAsia="zh-CN" w:bidi="ar"/>
                    </w:rPr>
                    <w:t>48.12</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V0Cs</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79.78</w:t>
                  </w:r>
                  <w:r>
                    <w:rPr>
                      <w:rFonts w:hint="eastAsia" w:ascii="宋体" w:hAnsi="宋体" w:eastAsia="宋体" w:cs="宋体"/>
                      <w:color w:val="000000"/>
                      <w:kern w:val="0"/>
                      <w:sz w:val="20"/>
                      <w:szCs w:val="20"/>
                      <w:lang w:val="en-US" w:eastAsia="zh-CN" w:bidi="ar"/>
                    </w:rPr>
                    <w:t>。水污染物（远期外排量）：废水量≤</w:t>
                  </w:r>
                  <w:r>
                    <w:rPr>
                      <w:rFonts w:hint="default" w:ascii="Times New Roman" w:hAnsi="Times New Roman" w:eastAsia="宋体" w:cs="Times New Roman"/>
                      <w:color w:val="000000"/>
                      <w:kern w:val="0"/>
                      <w:sz w:val="20"/>
                      <w:szCs w:val="20"/>
                      <w:lang w:val="en-US" w:eastAsia="zh-CN" w:bidi="ar"/>
                    </w:rPr>
                    <w:t>1454 2</w:t>
                  </w:r>
                  <w:r>
                    <w:rPr>
                      <w:rFonts w:hint="eastAsia" w:ascii="宋体" w:hAnsi="宋体" w:eastAsia="宋体" w:cs="宋体"/>
                      <w:color w:val="000000"/>
                      <w:kern w:val="0"/>
                      <w:sz w:val="20"/>
                      <w:szCs w:val="20"/>
                      <w:lang w:val="en-US" w:eastAsia="zh-CN" w:bidi="ar"/>
                    </w:rPr>
                    <w:t>万，化学需氧量≤</w:t>
                  </w:r>
                  <w:r>
                    <w:rPr>
                      <w:rFonts w:hint="default" w:ascii="Times New Roman" w:hAnsi="Times New Roman" w:eastAsia="宋体" w:cs="Times New Roman"/>
                      <w:color w:val="000000"/>
                      <w:kern w:val="0"/>
                      <w:sz w:val="20"/>
                      <w:szCs w:val="20"/>
                      <w:lang w:val="en-US" w:eastAsia="zh-CN" w:bidi="ar"/>
                    </w:rPr>
                    <w:t>727</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12</w:t>
                  </w:r>
                  <w:r>
                    <w:rPr>
                      <w:rFonts w:hint="eastAsia" w:ascii="宋体" w:hAnsi="宋体" w:eastAsia="宋体" w:cs="宋体"/>
                      <w:color w:val="000000"/>
                      <w:kern w:val="0"/>
                      <w:sz w:val="20"/>
                      <w:szCs w:val="20"/>
                      <w:lang w:val="en-US" w:eastAsia="zh-CN" w:bidi="ar"/>
                    </w:rPr>
                    <w:t>，氨氮≤</w:t>
                  </w:r>
                  <w:r>
                    <w:rPr>
                      <w:rFonts w:hint="default" w:ascii="Times New Roman" w:hAnsi="Times New Roman" w:eastAsia="宋体" w:cs="Times New Roman"/>
                      <w:color w:val="000000"/>
                      <w:kern w:val="0"/>
                      <w:sz w:val="20"/>
                      <w:szCs w:val="20"/>
                      <w:lang w:val="en-US" w:eastAsia="zh-CN" w:bidi="ar"/>
                    </w:rPr>
                    <w:t>72.71</w:t>
                  </w:r>
                  <w:r>
                    <w:rPr>
                      <w:rFonts w:hint="eastAsia" w:ascii="宋体" w:hAnsi="宋体" w:eastAsia="宋体" w:cs="宋体"/>
                      <w:color w:val="000000"/>
                      <w:kern w:val="0"/>
                      <w:sz w:val="20"/>
                      <w:szCs w:val="20"/>
                      <w:lang w:val="en-US" w:eastAsia="zh-CN" w:bidi="ar"/>
                    </w:rPr>
                    <w:t>，总磷≤</w:t>
                  </w:r>
                  <w:r>
                    <w:rPr>
                      <w:rFonts w:hint="default" w:ascii="Times New Roman" w:hAnsi="Times New Roman" w:eastAsia="宋体" w:cs="Times New Roman"/>
                      <w:color w:val="000000"/>
                      <w:kern w:val="0"/>
                      <w:sz w:val="20"/>
                      <w:szCs w:val="20"/>
                      <w:lang w:val="en-US" w:eastAsia="zh-CN" w:bidi="ar"/>
                    </w:rPr>
                    <w:t>7.27</w:t>
                  </w:r>
                  <w:r>
                    <w:rPr>
                      <w:rFonts w:hint="eastAsia" w:ascii="宋体" w:hAnsi="宋体" w:eastAsia="宋体" w:cs="宋体"/>
                      <w:color w:val="000000"/>
                      <w:kern w:val="0"/>
                      <w:sz w:val="20"/>
                      <w:szCs w:val="20"/>
                      <w:lang w:val="en-US" w:eastAsia="zh-CN" w:bidi="ar"/>
                    </w:rPr>
                    <w:t>，镍≤</w:t>
                  </w:r>
                  <w:r>
                    <w:rPr>
                      <w:rFonts w:hint="default" w:ascii="Times New Roman" w:hAnsi="Times New Roman" w:eastAsia="宋体" w:cs="Times New Roman"/>
                      <w:color w:val="000000"/>
                      <w:kern w:val="0"/>
                      <w:sz w:val="20"/>
                      <w:szCs w:val="20"/>
                      <w:lang w:val="en-US" w:eastAsia="zh-CN" w:bidi="ar"/>
                    </w:rPr>
                    <w:t>0.0064</w:t>
                  </w:r>
                  <w:r>
                    <w:rPr>
                      <w:rFonts w:hint="eastAsia" w:ascii="宋体" w:hAnsi="宋体" w:eastAsia="宋体" w:cs="宋体"/>
                      <w:color w:val="000000"/>
                      <w:kern w:val="0"/>
                      <w:sz w:val="20"/>
                      <w:szCs w:val="20"/>
                      <w:lang w:val="en-US" w:eastAsia="zh-CN" w:bidi="ar"/>
                    </w:rPr>
                    <w:t>，总铬≤</w:t>
                  </w:r>
                  <w:r>
                    <w:rPr>
                      <w:rFonts w:hint="default" w:ascii="Times New Roman" w:hAnsi="Times New Roman" w:eastAsia="宋体" w:cs="Times New Roman"/>
                      <w:color w:val="000000"/>
                      <w:kern w:val="0"/>
                      <w:sz w:val="20"/>
                      <w:szCs w:val="20"/>
                      <w:lang w:val="en-US" w:eastAsia="zh-CN" w:bidi="ar"/>
                    </w:rPr>
                    <w:t>0.026</w:t>
                  </w:r>
                  <w:r>
                    <w:rPr>
                      <w:rFonts w:hint="eastAsia" w:ascii="宋体" w:hAnsi="宋体" w:eastAsia="宋体" w:cs="宋体"/>
                      <w:color w:val="000000"/>
                      <w:kern w:val="0"/>
                      <w:sz w:val="20"/>
                      <w:szCs w:val="20"/>
                      <w:lang w:val="en-US" w:eastAsia="zh-CN" w:bidi="ar"/>
                    </w:rPr>
                    <w:t>，六价铬≤</w:t>
                  </w:r>
                  <w:r>
                    <w:rPr>
                      <w:rFonts w:hint="default" w:ascii="Times New Roman" w:hAnsi="Times New Roman" w:eastAsia="宋体" w:cs="Times New Roman"/>
                      <w:color w:val="000000"/>
                      <w:kern w:val="0"/>
                      <w:sz w:val="20"/>
                      <w:szCs w:val="20"/>
                      <w:lang w:val="en-US" w:eastAsia="zh-CN" w:bidi="ar"/>
                    </w:rPr>
                    <w:t>0.005</w:t>
                  </w:r>
                  <w:r>
                    <w:rPr>
                      <w:rFonts w:hint="eastAsia" w:ascii="宋体" w:hAnsi="宋体" w:eastAsia="宋体" w:cs="宋体"/>
                      <w:color w:val="000000"/>
                      <w:kern w:val="0"/>
                      <w:sz w:val="20"/>
                      <w:szCs w:val="20"/>
                      <w:lang w:val="en-US" w:eastAsia="zh-CN" w:bidi="ar"/>
                    </w:rPr>
                    <w:t>。</w:t>
                  </w:r>
                </w:p>
              </w:tc>
              <w:tc>
                <w:tcPr>
                  <w:tcW w:w="1305" w:type="dxa"/>
                  <w:tcBorders>
                    <w:tl2br w:val="nil"/>
                    <w:tr2bl w:val="nil"/>
                  </w:tcBorders>
                  <w:vAlign w:val="center"/>
                </w:tcPr>
                <w:p>
                  <w:pPr>
                    <w:pStyle w:val="5"/>
                    <w:rPr>
                      <w:rFonts w:hint="eastAsia"/>
                      <w:sz w:val="18"/>
                      <w:szCs w:val="18"/>
                      <w:lang w:eastAsia="zh-CN"/>
                    </w:rPr>
                  </w:pPr>
                  <w:r>
                    <w:rPr>
                      <w:rFonts w:hint="eastAsia" w:ascii="宋体" w:hAnsi="宋体" w:eastAsia="宋体" w:cs="宋体"/>
                      <w:color w:val="000000"/>
                      <w:kern w:val="0"/>
                      <w:sz w:val="20"/>
                      <w:szCs w:val="20"/>
                      <w:lang w:val="en-US" w:eastAsia="zh-CN" w:bidi="ar"/>
                    </w:rPr>
                    <w:t>本项目为登记管理类，根据南通市生态环境部门规定，暂无需申请排污总量</w:t>
                  </w:r>
                </w:p>
              </w:tc>
              <w:tc>
                <w:tcPr>
                  <w:tcW w:w="1215"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相符</w:t>
                  </w: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对照启东经济技术开发区生态环境准入清单，本项目不属于该清单中规定的禁止或者限制引进的产业，符合相关要求。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启东经济开发区的基础设施建设比较完善，各设施基本按照规划进行建设，基础设施建设可满足本项目的生产需求。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综上所述，本项目的建设符合启东市经济开发区相关规划。</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2" w:firstLineChars="200"/>
              <w:jc w:val="both"/>
              <w:textAlignment w:val="auto"/>
              <w:rPr>
                <w:rFonts w:hint="eastAsia"/>
                <w:b/>
                <w:bCs/>
                <w:lang w:val="en-US" w:eastAsia="zh-CN"/>
              </w:rPr>
            </w:pPr>
            <w:r>
              <w:rPr>
                <w:rFonts w:hint="eastAsia"/>
                <w:b/>
                <w:bCs/>
                <w:lang w:val="en-US" w:eastAsia="zh-CN"/>
              </w:rPr>
              <w:t>2、与江苏省启东经济开发区开发建设规划（2020-2030）环境影响报告书结论相符性分析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江苏省启东经济开发区开发建设规划（2020-2030）环境影响报告书结论：区域环境质量状况基本良好，具有一定的环境承载力，规划配套基础设施完善，能够满足江苏省启东经济开发区开发建设需求。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lang w:val="en-US" w:eastAsia="zh-CN"/>
              </w:rPr>
            </w:pPr>
            <w:r>
              <w:rPr>
                <w:rFonts w:hint="eastAsia"/>
                <w:lang w:val="en-US" w:eastAsia="zh-CN"/>
              </w:rPr>
              <w:t>本项目用地为工业用地，且运营过程中本项目产生的污染程度较轻且易于防治，本项目与江苏省启东经济开发区开发建设规划（2020-2030）环境影响报告书结论相符。</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2" w:firstLineChars="200"/>
              <w:jc w:val="both"/>
              <w:textAlignment w:val="auto"/>
              <w:rPr>
                <w:rFonts w:hint="eastAsia"/>
                <w:b/>
                <w:bCs/>
                <w:lang w:eastAsia="zh-CN"/>
              </w:rPr>
            </w:pPr>
            <w:r>
              <w:rPr>
                <w:rFonts w:hint="eastAsia"/>
                <w:b/>
                <w:bCs/>
                <w:lang w:eastAsia="zh-CN"/>
              </w:rPr>
              <w:t>3、与《省生态环境厅关于江苏省启东经济开发区开发建设规划（2020-2030）环境影响报告书的审查意见》（苏环审[2020]44号）相符性分析</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lang w:eastAsia="zh-CN"/>
              </w:rPr>
            </w:pPr>
            <w:r>
              <w:rPr>
                <w:rFonts w:hint="eastAsia"/>
                <w:b/>
                <w:bCs/>
                <w:lang w:eastAsia="zh-CN"/>
              </w:rPr>
              <w:t>表 1-</w:t>
            </w:r>
            <w:r>
              <w:rPr>
                <w:rFonts w:hint="eastAsia"/>
                <w:b/>
                <w:bCs/>
                <w:lang w:val="en-US" w:eastAsia="zh-CN"/>
              </w:rPr>
              <w:t xml:space="preserve">2 </w:t>
            </w:r>
            <w:r>
              <w:rPr>
                <w:rFonts w:hint="eastAsia"/>
                <w:b/>
                <w:bCs/>
                <w:lang w:eastAsia="zh-CN"/>
              </w:rPr>
              <w:t>项目与规划环评审查意见相符性情况一览表</w:t>
            </w:r>
          </w:p>
          <w:tbl>
            <w:tblPr>
              <w:tblStyle w:val="12"/>
              <w:tblW w:w="709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01"/>
              <w:gridCol w:w="4129"/>
              <w:gridCol w:w="236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601"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序号</w:t>
                  </w:r>
                </w:p>
              </w:tc>
              <w:tc>
                <w:tcPr>
                  <w:tcW w:w="4129"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审查意见</w:t>
                  </w:r>
                </w:p>
              </w:tc>
              <w:tc>
                <w:tcPr>
                  <w:tcW w:w="2366"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本项目情况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601"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w:t>
                  </w:r>
                </w:p>
              </w:tc>
              <w:tc>
                <w:tcPr>
                  <w:tcW w:w="4129" w:type="dxa"/>
                  <w:tcBorders>
                    <w:tl2br w:val="nil"/>
                    <w:tr2bl w:val="nil"/>
                  </w:tcBorders>
                  <w:vAlign w:val="center"/>
                </w:tcPr>
                <w:p>
                  <w:pPr>
                    <w:bidi w:val="0"/>
                    <w:jc w:val="both"/>
                    <w:rPr>
                      <w:rFonts w:hint="eastAsia"/>
                      <w:sz w:val="18"/>
                      <w:szCs w:val="18"/>
                      <w:lang w:eastAsia="zh-CN"/>
                    </w:rPr>
                  </w:pPr>
                  <w:r>
                    <w:rPr>
                      <w:rFonts w:hint="eastAsia"/>
                      <w:sz w:val="18"/>
                      <w:szCs w:val="18"/>
                      <w:lang w:eastAsia="zh-CN"/>
                    </w:rPr>
                    <w:t>开发区不涉及国家级生态红线，主要存在以下生态环境问题：一开发区规划用地与《启东经济开发区控制性详细规划》协调一致，但与2012年编制的《启东市城市总规》有不一致之处，规划工业用地内居民拆迁尚未全部完成；和平路以东，林洋路以东、和平路以西区域规划用地类型为居民用地和公园用地，该地块目前企业45家，需搬迁退出。二是开发区部分区域涉及省生态空间管控区域清水通道维护区，涉及的范围内有22家企业（不符合用地性质）。三是开发区已建的生产型企业中，有9家不符合开发区上一轮产业定位。四是区内部分企业尚未完成竣工环保验收手续。因此依据《报告书》和审查意见，进</w:t>
                  </w:r>
                  <w:r>
                    <w:rPr>
                      <w:rFonts w:hint="eastAsia"/>
                      <w:sz w:val="18"/>
                      <w:szCs w:val="18"/>
                      <w:lang w:val="en-US" w:eastAsia="zh-CN"/>
                    </w:rPr>
                    <w:t>一步优化《规划》，强化各项环境保护对策与措施的落实，有效预防和减缓《规划》实施可能带来的不良环境影响。</w:t>
                  </w:r>
                </w:p>
              </w:tc>
              <w:tc>
                <w:tcPr>
                  <w:tcW w:w="2366"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本项目租赁企业不属于需搬迁退出45家名单中，不涉及清水通道维护区，符合开发区产业定位。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601"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w:t>
                  </w:r>
                </w:p>
              </w:tc>
              <w:tc>
                <w:tcPr>
                  <w:tcW w:w="4129"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严守环境质量底线，严格生态环境准入要求，推动产业绿色转型升级，采取有效措施减少主要污染物排放总量，确保实现区域环境质量持续改善。</w:t>
                  </w:r>
                </w:p>
              </w:tc>
              <w:tc>
                <w:tcPr>
                  <w:tcW w:w="2366"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建设项目废水、废气、固废均得到合理处置，噪声对周边影响较小，不会突破建设项目所在地的环境质量底线，符合生态环境准入要求。</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601"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3</w:t>
                  </w:r>
                </w:p>
              </w:tc>
              <w:tc>
                <w:tcPr>
                  <w:tcW w:w="4129" w:type="dxa"/>
                  <w:tcBorders>
                    <w:tl2br w:val="nil"/>
                    <w:tr2bl w:val="nil"/>
                  </w:tcBorders>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提高排放酸性气体、异味气体、挥发性有机物的项目环境准入要求，严格控制涉重产业规模，有效防治酸性气体、异味污染物及重金属。引进项目的生产工艺、设备、能耗、污染物排放、资源利用等均需达到同行业先进水平。</w:t>
                  </w:r>
                </w:p>
                <w:p>
                  <w:pPr>
                    <w:bidi w:val="0"/>
                    <w:jc w:val="center"/>
                    <w:rPr>
                      <w:rFonts w:hint="eastAsia"/>
                      <w:sz w:val="18"/>
                      <w:szCs w:val="18"/>
                      <w:lang w:eastAsia="zh-CN"/>
                    </w:rPr>
                  </w:pPr>
                </w:p>
              </w:tc>
              <w:tc>
                <w:tcPr>
                  <w:tcW w:w="2366" w:type="dxa"/>
                  <w:tcBorders>
                    <w:tl2br w:val="nil"/>
                    <w:tr2bl w:val="nil"/>
                  </w:tcBorders>
                  <w:vAlign w:val="center"/>
                </w:tcPr>
                <w:p>
                  <w:pPr>
                    <w:bidi w:val="0"/>
                    <w:jc w:val="both"/>
                    <w:rPr>
                      <w:rFonts w:hint="eastAsia"/>
                      <w:sz w:val="18"/>
                      <w:szCs w:val="18"/>
                      <w:lang w:eastAsia="zh-CN"/>
                    </w:rPr>
                  </w:pPr>
                  <w:r>
                    <w:rPr>
                      <w:rFonts w:hint="eastAsia"/>
                      <w:sz w:val="18"/>
                      <w:szCs w:val="18"/>
                      <w:lang w:eastAsia="zh-CN"/>
                    </w:rPr>
                    <w:t>本项目为C1829其他针织或钩针编织服装制造，不产生酸性气体、异味气体、挥发性有机物，不涉重，项目的生产工艺、设备有所优化，污染物排放量减少，能源、资源得到有效利用。</w:t>
                  </w: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cs="Times New Roman"/>
                <w:color w:val="auto"/>
                <w:kern w:val="0"/>
                <w:szCs w:val="21"/>
                <w:lang w:eastAsia="zh-CN"/>
              </w:rPr>
            </w:pPr>
            <w:r>
              <w:rPr>
                <w:rFonts w:hint="eastAsia"/>
                <w:lang w:eastAsia="zh-CN"/>
              </w:rPr>
              <w:t>综上，项目位于启东经济开发区人民西路</w:t>
            </w:r>
            <w:r>
              <w:rPr>
                <w:rFonts w:hint="eastAsia"/>
                <w:lang w:val="en-US" w:eastAsia="zh-CN"/>
              </w:rPr>
              <w:t>3333号</w:t>
            </w:r>
            <w:r>
              <w:rPr>
                <w:rFonts w:hint="eastAsia"/>
                <w:lang w:eastAsia="zh-CN"/>
              </w:rPr>
              <w:t>，其用地性质为工业用地，符合启东市用地规划要求。本项目与《省生态环境厅关于江苏省启东经济开发区开发建设规划（2020-2030）环境影响报告书审查意见》（</w:t>
            </w:r>
            <w:r>
              <w:rPr>
                <w:rFonts w:hint="eastAsia"/>
                <w:lang w:val="en-US" w:eastAsia="zh-CN"/>
              </w:rPr>
              <w:t>苏环审（2020）44号</w:t>
            </w:r>
            <w:r>
              <w:rPr>
                <w:rFonts w:hint="eastAsia"/>
                <w:lang w:eastAsia="zh-CN"/>
              </w:rPr>
              <w:t>）相符合。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58" w:type="dxa"/>
            <w:noWrap w:val="0"/>
            <w:vAlign w:val="center"/>
          </w:tcPr>
          <w:p>
            <w:pPr>
              <w:adjustRightInd w:val="0"/>
              <w:snapToGrid w:val="0"/>
              <w:jc w:val="center"/>
              <w:rPr>
                <w:color w:val="auto"/>
                <w:kern w:val="0"/>
                <w:szCs w:val="21"/>
              </w:rPr>
            </w:pPr>
            <w:r>
              <w:rPr>
                <w:color w:val="auto"/>
                <w:kern w:val="0"/>
                <w:szCs w:val="21"/>
              </w:rPr>
              <w:t>其他符合性分析</w:t>
            </w:r>
          </w:p>
        </w:tc>
        <w:tc>
          <w:tcPr>
            <w:tcW w:w="7312" w:type="dxa"/>
            <w:gridSpan w:val="4"/>
            <w:noWrap w:val="0"/>
            <w:vAlign w:val="center"/>
          </w:tcPr>
          <w:p>
            <w:pPr>
              <w:spacing w:line="500" w:lineRule="exact"/>
              <w:rPr>
                <w:b/>
                <w:color w:val="auto"/>
                <w:szCs w:val="21"/>
              </w:rPr>
            </w:pPr>
            <w:r>
              <w:rPr>
                <w:rFonts w:hint="eastAsia"/>
                <w:b/>
                <w:color w:val="auto"/>
                <w:szCs w:val="21"/>
                <w:lang w:val="en-US" w:eastAsia="zh-CN"/>
              </w:rPr>
              <w:t>1</w:t>
            </w:r>
            <w:r>
              <w:rPr>
                <w:b/>
                <w:color w:val="auto"/>
                <w:szCs w:val="21"/>
              </w:rPr>
              <w:t>、项目产业政策符合性分析</w:t>
            </w:r>
          </w:p>
          <w:p>
            <w:pPr>
              <w:spacing w:line="500" w:lineRule="exact"/>
              <w:ind w:firstLine="420" w:firstLineChars="200"/>
              <w:rPr>
                <w:strike w:val="0"/>
                <w:dstrike w:val="0"/>
                <w:color w:val="auto"/>
                <w:szCs w:val="21"/>
              </w:rPr>
            </w:pPr>
            <w:r>
              <w:rPr>
                <w:strike w:val="0"/>
                <w:dstrike w:val="0"/>
                <w:color w:val="auto"/>
                <w:szCs w:val="21"/>
              </w:rPr>
              <w:t>（1）产品产业政策符合性</w:t>
            </w:r>
          </w:p>
          <w:p>
            <w:pPr>
              <w:keepNext w:val="0"/>
              <w:keepLines w:val="0"/>
              <w:pageBreakBefore w:val="0"/>
              <w:widowControl w:val="0"/>
              <w:kinsoku/>
              <w:wordWrap/>
              <w:overflowPunct/>
              <w:topLinePunct w:val="0"/>
              <w:bidi w:val="0"/>
              <w:adjustRightInd w:val="0"/>
              <w:snapToGrid w:val="0"/>
              <w:spacing w:line="500" w:lineRule="exact"/>
              <w:ind w:firstLine="420" w:firstLineChars="200"/>
              <w:textAlignment w:val="auto"/>
              <w:rPr>
                <w:rFonts w:hint="eastAsia"/>
                <w:color w:val="auto"/>
                <w:lang w:val="en-US" w:eastAsia="zh-CN"/>
              </w:rPr>
            </w:pPr>
            <w:r>
              <w:rPr>
                <w:rFonts w:hint="eastAsia"/>
                <w:color w:val="auto"/>
                <w:lang w:val="en-US" w:eastAsia="zh-CN"/>
              </w:rPr>
              <w:t>项目为国民经济的行业类别中的C1829</w:t>
            </w:r>
            <w:r>
              <w:rPr>
                <w:rFonts w:hint="eastAsia"/>
                <w:color w:val="auto"/>
                <w:szCs w:val="21"/>
                <w:lang w:val="en-US" w:eastAsia="zh-CN"/>
              </w:rPr>
              <w:t>其他针织或钩针编织服装制造</w:t>
            </w:r>
            <w:r>
              <w:rPr>
                <w:rFonts w:hint="eastAsia"/>
                <w:color w:val="auto"/>
                <w:lang w:val="en-US" w:eastAsia="zh-CN"/>
              </w:rPr>
              <w:t>，不属于《产业结构调整指导目录（2019年本）》（2021年修改单）中禁止和限制类，视为允许类，对照《环境保护综合名录（2021年版）》及《江苏省“两高”项目管理目录》，本项目不在“高污染、高环境风险”产品名录内。对照《南通市关于加大污染减排力度推进重点行业绿色发展的指导意见》（通办〔2024〕6号），本项目不属于高排放、高耗能行业。因此，本项目符合国家产业政策。</w:t>
            </w:r>
          </w:p>
          <w:p>
            <w:pPr>
              <w:spacing w:line="500" w:lineRule="exact"/>
              <w:ind w:firstLine="420" w:firstLineChars="200"/>
              <w:rPr>
                <w:rFonts w:hint="eastAsia"/>
                <w:color w:val="auto"/>
                <w:lang w:eastAsia="zh-CN"/>
              </w:rPr>
            </w:pPr>
            <w:r>
              <w:rPr>
                <w:color w:val="auto"/>
                <w:szCs w:val="21"/>
              </w:rPr>
              <w:t>（2）</w:t>
            </w:r>
            <w:r>
              <w:rPr>
                <w:rFonts w:hint="eastAsia"/>
                <w:color w:val="auto"/>
                <w:lang w:eastAsia="zh-CN"/>
              </w:rPr>
              <w:t>选址及用地规划相符性分析</w:t>
            </w:r>
          </w:p>
          <w:p>
            <w:pPr>
              <w:spacing w:line="500" w:lineRule="exact"/>
              <w:ind w:firstLine="420" w:firstLineChars="200"/>
              <w:rPr>
                <w:color w:val="auto"/>
                <w:szCs w:val="21"/>
              </w:rPr>
            </w:pPr>
            <w:r>
              <w:rPr>
                <w:color w:val="auto"/>
                <w:szCs w:val="21"/>
              </w:rPr>
              <w:t>对照《限制用地项目目录（2012年本）》和《禁止用地项目目录（2012年本）》，</w:t>
            </w:r>
            <w:r>
              <w:rPr>
                <w:rFonts w:hint="eastAsia"/>
                <w:color w:val="auto"/>
                <w:lang w:val="en-US" w:eastAsia="zh-CN"/>
              </w:rPr>
              <w:t>《江苏省限制用地项目目录（2013年本）》和《江苏省禁止用地项目目录（2013年本）》，</w:t>
            </w:r>
            <w:r>
              <w:rPr>
                <w:color w:val="auto"/>
                <w:szCs w:val="21"/>
              </w:rPr>
              <w:t>本项目不属于其规定的限制用地和禁止用地项目范畴，可视为允许类项目。</w:t>
            </w:r>
          </w:p>
          <w:p>
            <w:pPr>
              <w:adjustRightInd w:val="0"/>
              <w:snapToGrid w:val="0"/>
              <w:spacing w:line="500" w:lineRule="exact"/>
              <w:rPr>
                <w:rFonts w:hint="eastAsia"/>
                <w:b/>
                <w:bCs/>
                <w:color w:val="auto"/>
                <w:szCs w:val="21"/>
              </w:rPr>
            </w:pPr>
            <w:r>
              <w:rPr>
                <w:rFonts w:hint="eastAsia"/>
                <w:b/>
                <w:bCs/>
                <w:color w:val="auto"/>
                <w:szCs w:val="21"/>
                <w:lang w:val="en-US" w:eastAsia="zh-CN"/>
              </w:rPr>
              <w:t>2</w:t>
            </w:r>
            <w:r>
              <w:rPr>
                <w:rFonts w:hint="eastAsia"/>
                <w:b/>
                <w:bCs/>
                <w:color w:val="auto"/>
                <w:szCs w:val="21"/>
              </w:rPr>
              <w:t>、与“三线一单”相符性分析</w:t>
            </w:r>
          </w:p>
          <w:p>
            <w:pPr>
              <w:adjustRightInd w:val="0"/>
              <w:snapToGrid w:val="0"/>
              <w:spacing w:line="500" w:lineRule="exact"/>
              <w:ind w:firstLine="420" w:firstLineChars="200"/>
              <w:rPr>
                <w:rFonts w:hint="eastAsia"/>
                <w:bCs/>
                <w:color w:val="auto"/>
                <w:szCs w:val="21"/>
              </w:rPr>
            </w:pPr>
            <w:r>
              <w:rPr>
                <w:rFonts w:hint="eastAsia"/>
                <w:bCs/>
                <w:color w:val="auto"/>
                <w:szCs w:val="21"/>
              </w:rPr>
              <w:t>1）与生态保护红线的相符性</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bCs/>
                <w:color w:val="auto"/>
                <w:szCs w:val="21"/>
              </w:rPr>
            </w:pPr>
            <w:r>
              <w:rPr>
                <w:rFonts w:hint="eastAsia"/>
                <w:bCs/>
                <w:color w:val="auto"/>
                <w:szCs w:val="21"/>
              </w:rPr>
              <w:t>① 与国家级生态保护红线管理的相符性分析</w:t>
            </w:r>
          </w:p>
          <w:p>
            <w:pPr>
              <w:adjustRightInd w:val="0"/>
              <w:snapToGrid w:val="0"/>
              <w:spacing w:line="500" w:lineRule="exact"/>
              <w:ind w:firstLine="420" w:firstLineChars="200"/>
              <w:rPr>
                <w:rFonts w:hint="eastAsia"/>
                <w:bCs/>
                <w:color w:val="auto"/>
                <w:szCs w:val="21"/>
              </w:rPr>
            </w:pPr>
            <w:r>
              <w:rPr>
                <w:rFonts w:hint="eastAsia"/>
                <w:bCs/>
                <w:color w:val="auto"/>
                <w:szCs w:val="21"/>
              </w:rPr>
              <w:t>对照《省政府关于印发江苏省国家级生态保护红线规划的通知》（苏政发﹝2018﹞74号）中“江苏省国家级生态保护红线规划”，本项目位于</w:t>
            </w:r>
            <w:r>
              <w:rPr>
                <w:rFonts w:hint="eastAsia"/>
                <w:bCs/>
                <w:color w:val="auto"/>
                <w:szCs w:val="21"/>
                <w:lang w:eastAsia="zh-CN"/>
              </w:rPr>
              <w:t>启东经济开发区人民西路</w:t>
            </w:r>
            <w:r>
              <w:rPr>
                <w:rFonts w:hint="eastAsia"/>
                <w:bCs/>
                <w:color w:val="auto"/>
                <w:szCs w:val="21"/>
                <w:lang w:val="en-US" w:eastAsia="zh-CN"/>
              </w:rPr>
              <w:t>3333号</w:t>
            </w:r>
            <w:r>
              <w:rPr>
                <w:rFonts w:hint="eastAsia"/>
                <w:bCs/>
                <w:color w:val="auto"/>
                <w:szCs w:val="21"/>
              </w:rPr>
              <w:t>，不在生态红线管控区范围内，符合《省政府关于印发江苏省国家级生态保护红线规划的通知》（苏政发﹝2018﹞74号）的相关要求。</w:t>
            </w:r>
          </w:p>
          <w:p>
            <w:pPr>
              <w:adjustRightInd w:val="0"/>
              <w:snapToGrid w:val="0"/>
              <w:spacing w:line="500" w:lineRule="exact"/>
              <w:ind w:firstLine="420" w:firstLineChars="200"/>
              <w:rPr>
                <w:rFonts w:hint="eastAsia"/>
                <w:bCs/>
                <w:color w:val="auto"/>
                <w:szCs w:val="21"/>
              </w:rPr>
            </w:pPr>
            <w:r>
              <w:rPr>
                <w:rFonts w:hint="eastAsia"/>
                <w:bCs/>
                <w:color w:val="auto"/>
                <w:szCs w:val="21"/>
              </w:rPr>
              <w:t>② 与地方生态保护红线管理的相符性分析</w:t>
            </w:r>
          </w:p>
          <w:p>
            <w:pPr>
              <w:spacing w:line="500" w:lineRule="exact"/>
              <w:ind w:firstLine="420" w:firstLineChars="200"/>
              <w:rPr>
                <w:color w:val="auto"/>
                <w:kern w:val="0"/>
                <w:szCs w:val="21"/>
              </w:rPr>
            </w:pPr>
            <w:r>
              <w:rPr>
                <w:rFonts w:hint="eastAsia"/>
                <w:bCs/>
                <w:color w:val="auto"/>
                <w:szCs w:val="21"/>
              </w:rPr>
              <w:t>对照《省政府关于印发江苏省生态空间管控区域规划的通知》（苏政发〔2020〕1号）中“</w:t>
            </w:r>
            <w:r>
              <w:rPr>
                <w:rFonts w:hint="eastAsia"/>
                <w:bCs/>
                <w:color w:val="auto"/>
                <w:szCs w:val="21"/>
                <w:lang w:eastAsia="zh-CN"/>
              </w:rPr>
              <w:t>南通</w:t>
            </w:r>
            <w:r>
              <w:rPr>
                <w:rFonts w:hint="eastAsia"/>
                <w:bCs/>
                <w:color w:val="auto"/>
                <w:szCs w:val="21"/>
              </w:rPr>
              <w:t>市生态空间保护区域名录”，</w:t>
            </w:r>
            <w:bookmarkStart w:id="3" w:name="OLE_LINK105"/>
            <w:r>
              <w:rPr>
                <w:color w:val="auto"/>
                <w:kern w:val="0"/>
                <w:szCs w:val="21"/>
              </w:rPr>
              <w:t>建设项目与生态管控空间位置关系见表1-</w:t>
            </w:r>
            <w:bookmarkEnd w:id="3"/>
            <w:r>
              <w:rPr>
                <w:rFonts w:hint="eastAsia"/>
                <w:color w:val="auto"/>
                <w:kern w:val="0"/>
                <w:szCs w:val="21"/>
                <w:lang w:val="en-US" w:eastAsia="zh-CN"/>
              </w:rPr>
              <w:t>3</w:t>
            </w:r>
            <w:r>
              <w:rPr>
                <w:color w:val="auto"/>
                <w:kern w:val="0"/>
                <w:szCs w:val="21"/>
              </w:rPr>
              <w:t>。</w:t>
            </w:r>
          </w:p>
          <w:p>
            <w:pPr>
              <w:widowControl/>
              <w:spacing w:line="360" w:lineRule="exact"/>
              <w:ind w:firstLine="422" w:firstLineChars="200"/>
              <w:jc w:val="center"/>
              <w:rPr>
                <w:b/>
                <w:color w:val="auto"/>
                <w:kern w:val="0"/>
                <w:szCs w:val="21"/>
              </w:rPr>
            </w:pPr>
            <w:r>
              <w:rPr>
                <w:b/>
                <w:color w:val="auto"/>
                <w:kern w:val="0"/>
                <w:szCs w:val="21"/>
              </w:rPr>
              <w:t>表1-</w:t>
            </w:r>
            <w:r>
              <w:rPr>
                <w:rFonts w:hint="eastAsia"/>
                <w:b/>
                <w:color w:val="auto"/>
                <w:kern w:val="0"/>
                <w:szCs w:val="21"/>
                <w:lang w:val="en-US" w:eastAsia="zh-CN"/>
              </w:rPr>
              <w:t xml:space="preserve">3 </w:t>
            </w:r>
            <w:r>
              <w:rPr>
                <w:b/>
                <w:color w:val="auto"/>
                <w:kern w:val="0"/>
                <w:szCs w:val="21"/>
              </w:rPr>
              <w:t>建设项目与生态管控空间位置关系</w:t>
            </w:r>
          </w:p>
          <w:tbl>
            <w:tblPr>
              <w:tblStyle w:val="11"/>
              <w:tblW w:w="4993"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09"/>
              <w:gridCol w:w="1098"/>
              <w:gridCol w:w="820"/>
              <w:gridCol w:w="1790"/>
              <w:gridCol w:w="795"/>
              <w:gridCol w:w="915"/>
              <w:gridCol w:w="735"/>
              <w:gridCol w:w="5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09" w:type="dxa"/>
                  <w:vMerge w:val="restart"/>
                  <w:tcBorders>
                    <w:tl2br w:val="nil"/>
                    <w:tr2bl w:val="nil"/>
                  </w:tcBorders>
                  <w:noWrap w:val="0"/>
                  <w:vAlign w:val="center"/>
                </w:tcPr>
                <w:p>
                  <w:pPr>
                    <w:widowControl/>
                    <w:jc w:val="center"/>
                    <w:rPr>
                      <w:b w:val="0"/>
                      <w:bCs w:val="0"/>
                      <w:color w:val="auto"/>
                      <w:kern w:val="0"/>
                      <w:sz w:val="18"/>
                      <w:szCs w:val="18"/>
                    </w:rPr>
                  </w:pPr>
                  <w:r>
                    <w:rPr>
                      <w:b w:val="0"/>
                      <w:bCs w:val="0"/>
                      <w:color w:val="auto"/>
                      <w:kern w:val="0"/>
                      <w:sz w:val="18"/>
                      <w:szCs w:val="18"/>
                    </w:rPr>
                    <w:t>地区</w:t>
                  </w:r>
                </w:p>
              </w:tc>
              <w:tc>
                <w:tcPr>
                  <w:tcW w:w="1098" w:type="dxa"/>
                  <w:vMerge w:val="restart"/>
                  <w:tcBorders>
                    <w:tl2br w:val="nil"/>
                    <w:tr2bl w:val="nil"/>
                  </w:tcBorders>
                  <w:noWrap w:val="0"/>
                  <w:vAlign w:val="center"/>
                </w:tcPr>
                <w:p>
                  <w:pPr>
                    <w:widowControl/>
                    <w:jc w:val="center"/>
                    <w:rPr>
                      <w:b w:val="0"/>
                      <w:bCs w:val="0"/>
                      <w:color w:val="auto"/>
                      <w:kern w:val="0"/>
                      <w:sz w:val="18"/>
                      <w:szCs w:val="18"/>
                    </w:rPr>
                  </w:pPr>
                  <w:r>
                    <w:rPr>
                      <w:b w:val="0"/>
                      <w:bCs w:val="0"/>
                      <w:color w:val="auto"/>
                      <w:kern w:val="0"/>
                      <w:sz w:val="18"/>
                      <w:szCs w:val="18"/>
                    </w:rPr>
                    <w:t>生态空间保护区域名称</w:t>
                  </w:r>
                </w:p>
              </w:tc>
              <w:tc>
                <w:tcPr>
                  <w:tcW w:w="820" w:type="dxa"/>
                  <w:vMerge w:val="restart"/>
                  <w:tcBorders>
                    <w:tl2br w:val="nil"/>
                    <w:tr2bl w:val="nil"/>
                  </w:tcBorders>
                  <w:noWrap w:val="0"/>
                  <w:vAlign w:val="center"/>
                </w:tcPr>
                <w:p>
                  <w:pPr>
                    <w:widowControl/>
                    <w:jc w:val="center"/>
                    <w:rPr>
                      <w:b w:val="0"/>
                      <w:bCs w:val="0"/>
                      <w:color w:val="auto"/>
                      <w:kern w:val="0"/>
                      <w:sz w:val="18"/>
                      <w:szCs w:val="18"/>
                    </w:rPr>
                  </w:pPr>
                  <w:r>
                    <w:rPr>
                      <w:b w:val="0"/>
                      <w:bCs w:val="0"/>
                      <w:color w:val="auto"/>
                      <w:kern w:val="0"/>
                      <w:sz w:val="18"/>
                      <w:szCs w:val="18"/>
                    </w:rPr>
                    <w:t>主导生态工程</w:t>
                  </w:r>
                </w:p>
              </w:tc>
              <w:tc>
                <w:tcPr>
                  <w:tcW w:w="2585" w:type="dxa"/>
                  <w:gridSpan w:val="2"/>
                  <w:tcBorders>
                    <w:tl2br w:val="nil"/>
                    <w:tr2bl w:val="nil"/>
                  </w:tcBorders>
                  <w:noWrap w:val="0"/>
                  <w:vAlign w:val="center"/>
                </w:tcPr>
                <w:p>
                  <w:pPr>
                    <w:widowControl/>
                    <w:jc w:val="center"/>
                    <w:rPr>
                      <w:b w:val="0"/>
                      <w:bCs w:val="0"/>
                      <w:color w:val="auto"/>
                      <w:kern w:val="0"/>
                      <w:sz w:val="18"/>
                      <w:szCs w:val="18"/>
                    </w:rPr>
                  </w:pPr>
                  <w:r>
                    <w:rPr>
                      <w:b w:val="0"/>
                      <w:bCs w:val="0"/>
                      <w:color w:val="auto"/>
                      <w:kern w:val="0"/>
                      <w:sz w:val="18"/>
                      <w:szCs w:val="18"/>
                    </w:rPr>
                    <w:t>范围</w:t>
                  </w:r>
                </w:p>
              </w:tc>
              <w:tc>
                <w:tcPr>
                  <w:tcW w:w="2175" w:type="dxa"/>
                  <w:gridSpan w:val="3"/>
                  <w:tcBorders>
                    <w:tl2br w:val="nil"/>
                    <w:tr2bl w:val="nil"/>
                  </w:tcBorders>
                  <w:noWrap w:val="0"/>
                  <w:vAlign w:val="center"/>
                </w:tcPr>
                <w:p>
                  <w:pPr>
                    <w:widowControl/>
                    <w:jc w:val="center"/>
                    <w:rPr>
                      <w:b w:val="0"/>
                      <w:bCs w:val="0"/>
                      <w:color w:val="auto"/>
                      <w:kern w:val="0"/>
                      <w:sz w:val="18"/>
                      <w:szCs w:val="18"/>
                    </w:rPr>
                  </w:pPr>
                  <w:r>
                    <w:rPr>
                      <w:b w:val="0"/>
                      <w:bCs w:val="0"/>
                      <w:color w:val="auto"/>
                      <w:kern w:val="0"/>
                      <w:sz w:val="18"/>
                      <w:szCs w:val="18"/>
                    </w:rPr>
                    <w:t>面积（平方公里）</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09" w:type="dxa"/>
                  <w:vMerge w:val="continue"/>
                  <w:tcBorders>
                    <w:tl2br w:val="nil"/>
                    <w:tr2bl w:val="nil"/>
                  </w:tcBorders>
                  <w:noWrap w:val="0"/>
                  <w:vAlign w:val="center"/>
                </w:tcPr>
                <w:p>
                  <w:pPr>
                    <w:widowControl/>
                    <w:jc w:val="center"/>
                    <w:rPr>
                      <w:b w:val="0"/>
                      <w:bCs w:val="0"/>
                      <w:color w:val="auto"/>
                      <w:kern w:val="0"/>
                      <w:sz w:val="18"/>
                      <w:szCs w:val="18"/>
                    </w:rPr>
                  </w:pPr>
                </w:p>
              </w:tc>
              <w:tc>
                <w:tcPr>
                  <w:tcW w:w="1098" w:type="dxa"/>
                  <w:vMerge w:val="continue"/>
                  <w:tcBorders>
                    <w:tl2br w:val="nil"/>
                    <w:tr2bl w:val="nil"/>
                  </w:tcBorders>
                  <w:noWrap w:val="0"/>
                  <w:vAlign w:val="center"/>
                </w:tcPr>
                <w:p>
                  <w:pPr>
                    <w:widowControl/>
                    <w:jc w:val="center"/>
                    <w:rPr>
                      <w:b w:val="0"/>
                      <w:bCs w:val="0"/>
                      <w:color w:val="auto"/>
                      <w:kern w:val="0"/>
                      <w:sz w:val="18"/>
                      <w:szCs w:val="18"/>
                    </w:rPr>
                  </w:pPr>
                </w:p>
              </w:tc>
              <w:tc>
                <w:tcPr>
                  <w:tcW w:w="820" w:type="dxa"/>
                  <w:vMerge w:val="continue"/>
                  <w:tcBorders>
                    <w:tl2br w:val="nil"/>
                    <w:tr2bl w:val="nil"/>
                  </w:tcBorders>
                  <w:noWrap w:val="0"/>
                  <w:vAlign w:val="center"/>
                </w:tcPr>
                <w:p>
                  <w:pPr>
                    <w:widowControl/>
                    <w:jc w:val="center"/>
                    <w:rPr>
                      <w:b w:val="0"/>
                      <w:bCs w:val="0"/>
                      <w:color w:val="auto"/>
                      <w:kern w:val="0"/>
                      <w:sz w:val="18"/>
                      <w:szCs w:val="18"/>
                    </w:rPr>
                  </w:pPr>
                </w:p>
              </w:tc>
              <w:tc>
                <w:tcPr>
                  <w:tcW w:w="1790" w:type="dxa"/>
                  <w:tcBorders>
                    <w:tl2br w:val="nil"/>
                    <w:tr2bl w:val="nil"/>
                  </w:tcBorders>
                  <w:noWrap w:val="0"/>
                  <w:vAlign w:val="center"/>
                </w:tcPr>
                <w:p>
                  <w:pPr>
                    <w:widowControl/>
                    <w:jc w:val="center"/>
                    <w:rPr>
                      <w:b w:val="0"/>
                      <w:bCs w:val="0"/>
                      <w:color w:val="auto"/>
                      <w:kern w:val="0"/>
                      <w:sz w:val="18"/>
                      <w:szCs w:val="18"/>
                    </w:rPr>
                  </w:pPr>
                  <w:r>
                    <w:rPr>
                      <w:b w:val="0"/>
                      <w:bCs w:val="0"/>
                      <w:color w:val="auto"/>
                      <w:kern w:val="0"/>
                      <w:sz w:val="18"/>
                      <w:szCs w:val="18"/>
                    </w:rPr>
                    <w:t>国家级生态保护红线范围</w:t>
                  </w:r>
                </w:p>
              </w:tc>
              <w:tc>
                <w:tcPr>
                  <w:tcW w:w="795" w:type="dxa"/>
                  <w:tcBorders>
                    <w:tl2br w:val="nil"/>
                    <w:tr2bl w:val="nil"/>
                  </w:tcBorders>
                  <w:noWrap w:val="0"/>
                  <w:vAlign w:val="center"/>
                </w:tcPr>
                <w:p>
                  <w:pPr>
                    <w:widowControl/>
                    <w:jc w:val="center"/>
                    <w:rPr>
                      <w:b w:val="0"/>
                      <w:bCs w:val="0"/>
                      <w:color w:val="auto"/>
                      <w:kern w:val="0"/>
                      <w:sz w:val="18"/>
                      <w:szCs w:val="18"/>
                    </w:rPr>
                  </w:pPr>
                  <w:r>
                    <w:rPr>
                      <w:b w:val="0"/>
                      <w:bCs w:val="0"/>
                      <w:color w:val="auto"/>
                      <w:kern w:val="0"/>
                      <w:sz w:val="18"/>
                      <w:szCs w:val="18"/>
                    </w:rPr>
                    <w:t>生态空间管控区域</w:t>
                  </w:r>
                </w:p>
              </w:tc>
              <w:tc>
                <w:tcPr>
                  <w:tcW w:w="915" w:type="dxa"/>
                  <w:tcBorders>
                    <w:tl2br w:val="nil"/>
                    <w:tr2bl w:val="nil"/>
                  </w:tcBorders>
                  <w:noWrap w:val="0"/>
                  <w:vAlign w:val="center"/>
                </w:tcPr>
                <w:p>
                  <w:pPr>
                    <w:widowControl/>
                    <w:jc w:val="center"/>
                    <w:rPr>
                      <w:b w:val="0"/>
                      <w:bCs w:val="0"/>
                      <w:color w:val="auto"/>
                      <w:kern w:val="0"/>
                      <w:sz w:val="18"/>
                      <w:szCs w:val="18"/>
                    </w:rPr>
                  </w:pPr>
                  <w:r>
                    <w:rPr>
                      <w:b w:val="0"/>
                      <w:bCs w:val="0"/>
                      <w:color w:val="auto"/>
                      <w:kern w:val="0"/>
                      <w:sz w:val="18"/>
                      <w:szCs w:val="18"/>
                    </w:rPr>
                    <w:t>国家级生态保护红线面积</w:t>
                  </w:r>
                </w:p>
              </w:tc>
              <w:tc>
                <w:tcPr>
                  <w:tcW w:w="735" w:type="dxa"/>
                  <w:tcBorders>
                    <w:tl2br w:val="nil"/>
                    <w:tr2bl w:val="nil"/>
                  </w:tcBorders>
                  <w:noWrap w:val="0"/>
                  <w:vAlign w:val="center"/>
                </w:tcPr>
                <w:p>
                  <w:pPr>
                    <w:widowControl/>
                    <w:jc w:val="center"/>
                    <w:rPr>
                      <w:b w:val="0"/>
                      <w:bCs w:val="0"/>
                      <w:color w:val="auto"/>
                      <w:kern w:val="0"/>
                      <w:sz w:val="18"/>
                      <w:szCs w:val="18"/>
                    </w:rPr>
                  </w:pPr>
                  <w:r>
                    <w:rPr>
                      <w:b w:val="0"/>
                      <w:bCs w:val="0"/>
                      <w:color w:val="auto"/>
                      <w:kern w:val="0"/>
                      <w:sz w:val="18"/>
                      <w:szCs w:val="18"/>
                    </w:rPr>
                    <w:t>生态空间管控区域面积</w:t>
                  </w:r>
                </w:p>
              </w:tc>
              <w:tc>
                <w:tcPr>
                  <w:tcW w:w="525" w:type="dxa"/>
                  <w:tcBorders>
                    <w:tl2br w:val="nil"/>
                    <w:tr2bl w:val="nil"/>
                  </w:tcBorders>
                  <w:noWrap w:val="0"/>
                  <w:vAlign w:val="center"/>
                </w:tcPr>
                <w:p>
                  <w:pPr>
                    <w:widowControl/>
                    <w:jc w:val="center"/>
                    <w:rPr>
                      <w:b w:val="0"/>
                      <w:bCs w:val="0"/>
                      <w:color w:val="auto"/>
                      <w:kern w:val="0"/>
                      <w:sz w:val="18"/>
                      <w:szCs w:val="18"/>
                    </w:rPr>
                  </w:pPr>
                  <w:r>
                    <w:rPr>
                      <w:b w:val="0"/>
                      <w:bCs w:val="0"/>
                      <w:color w:val="auto"/>
                      <w:kern w:val="0"/>
                      <w:sz w:val="18"/>
                      <w:szCs w:val="18"/>
                    </w:rPr>
                    <w:t>总面积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09" w:type="dxa"/>
                  <w:vMerge w:val="restart"/>
                  <w:tcBorders>
                    <w:tl2br w:val="nil"/>
                    <w:tr2bl w:val="nil"/>
                  </w:tcBorders>
                  <w:noWrap w:val="0"/>
                  <w:vAlign w:val="center"/>
                </w:tcPr>
                <w:p>
                  <w:pPr>
                    <w:widowControl/>
                    <w:jc w:val="center"/>
                    <w:rPr>
                      <w:rFonts w:hint="eastAsia" w:eastAsia="宋体"/>
                      <w:color w:val="auto"/>
                      <w:kern w:val="0"/>
                      <w:sz w:val="18"/>
                      <w:szCs w:val="18"/>
                      <w:lang w:eastAsia="zh-CN"/>
                    </w:rPr>
                  </w:pPr>
                  <w:r>
                    <w:rPr>
                      <w:rFonts w:hint="eastAsia"/>
                      <w:color w:val="auto"/>
                      <w:kern w:val="0"/>
                      <w:sz w:val="18"/>
                      <w:szCs w:val="18"/>
                      <w:lang w:eastAsia="zh-CN"/>
                    </w:rPr>
                    <w:t>启东市</w:t>
                  </w:r>
                </w:p>
              </w:tc>
              <w:tc>
                <w:tcPr>
                  <w:tcW w:w="1098" w:type="dxa"/>
                  <w:tcBorders>
                    <w:tl2br w:val="nil"/>
                    <w:tr2bl w:val="nil"/>
                  </w:tcBorders>
                  <w:noWrap w:val="0"/>
                  <w:vAlign w:val="center"/>
                </w:tcPr>
                <w:p>
                  <w:pPr>
                    <w:widowControl/>
                    <w:jc w:val="center"/>
                    <w:rPr>
                      <w:color w:val="auto"/>
                      <w:kern w:val="0"/>
                      <w:sz w:val="18"/>
                      <w:szCs w:val="18"/>
                    </w:rPr>
                  </w:pPr>
                  <w:r>
                    <w:rPr>
                      <w:rFonts w:hint="eastAsia"/>
                      <w:color w:val="auto"/>
                      <w:kern w:val="0"/>
                      <w:sz w:val="18"/>
                      <w:szCs w:val="18"/>
                      <w:lang w:val="en-US" w:eastAsia="zh-CN"/>
                    </w:rPr>
                    <w:t>头兴港河清水通道维护区</w:t>
                  </w:r>
                </w:p>
              </w:tc>
              <w:tc>
                <w:tcPr>
                  <w:tcW w:w="820" w:type="dxa"/>
                  <w:tcBorders>
                    <w:tl2br w:val="nil"/>
                    <w:tr2bl w:val="nil"/>
                  </w:tcBorders>
                  <w:noWrap w:val="0"/>
                  <w:vAlign w:val="center"/>
                </w:tcPr>
                <w:p>
                  <w:pPr>
                    <w:widowControl/>
                    <w:jc w:val="center"/>
                    <w:rPr>
                      <w:color w:val="auto"/>
                      <w:kern w:val="0"/>
                      <w:sz w:val="18"/>
                      <w:szCs w:val="18"/>
                    </w:rPr>
                  </w:pPr>
                  <w:r>
                    <w:rPr>
                      <w:color w:val="auto"/>
                      <w:kern w:val="0"/>
                      <w:sz w:val="18"/>
                      <w:szCs w:val="18"/>
                    </w:rPr>
                    <w:t>水源水质保护</w:t>
                  </w:r>
                </w:p>
              </w:tc>
              <w:tc>
                <w:tcPr>
                  <w:tcW w:w="1790" w:type="dxa"/>
                  <w:tcBorders>
                    <w:tl2br w:val="nil"/>
                    <w:tr2bl w:val="nil"/>
                  </w:tcBorders>
                  <w:noWrap w:val="0"/>
                  <w:vAlign w:val="center"/>
                </w:tcPr>
                <w:p>
                  <w:pPr>
                    <w:widowControl/>
                    <w:jc w:val="center"/>
                    <w:rPr>
                      <w:rFonts w:hint="eastAsia" w:eastAsia="宋体"/>
                      <w:color w:val="auto"/>
                      <w:kern w:val="0"/>
                      <w:sz w:val="18"/>
                      <w:szCs w:val="18"/>
                      <w:lang w:eastAsia="zh-CN"/>
                    </w:rPr>
                  </w:pPr>
                  <w:r>
                    <w:rPr>
                      <w:rFonts w:hint="eastAsia"/>
                      <w:color w:val="auto"/>
                      <w:kern w:val="0"/>
                      <w:sz w:val="18"/>
                      <w:szCs w:val="18"/>
                      <w:lang w:val="en-US" w:eastAsia="zh-CN"/>
                    </w:rPr>
                    <w:t>/</w:t>
                  </w:r>
                </w:p>
              </w:tc>
              <w:tc>
                <w:tcPr>
                  <w:tcW w:w="795" w:type="dxa"/>
                  <w:tcBorders>
                    <w:tl2br w:val="nil"/>
                    <w:tr2bl w:val="nil"/>
                  </w:tcBorders>
                  <w:noWrap w:val="0"/>
                  <w:vAlign w:val="center"/>
                </w:tcPr>
                <w:p>
                  <w:pPr>
                    <w:keepNext w:val="0"/>
                    <w:keepLines w:val="0"/>
                    <w:widowControl/>
                    <w:suppressLineNumbers w:val="0"/>
                    <w:jc w:val="center"/>
                    <w:rPr>
                      <w:color w:val="auto"/>
                      <w:kern w:val="0"/>
                      <w:sz w:val="18"/>
                      <w:szCs w:val="18"/>
                    </w:rPr>
                  </w:pPr>
                  <w:r>
                    <w:rPr>
                      <w:rFonts w:hint="eastAsia"/>
                      <w:color w:val="auto"/>
                      <w:kern w:val="0"/>
                      <w:sz w:val="18"/>
                      <w:szCs w:val="18"/>
                    </w:rPr>
                    <w:t>启东市境内头兴港河及两岸各500米</w:t>
                  </w:r>
                </w:p>
              </w:tc>
              <w:tc>
                <w:tcPr>
                  <w:tcW w:w="915" w:type="dxa"/>
                  <w:tcBorders>
                    <w:tl2br w:val="nil"/>
                    <w:tr2bl w:val="nil"/>
                  </w:tcBorders>
                  <w:noWrap w:val="0"/>
                  <w:vAlign w:val="center"/>
                </w:tcPr>
                <w:p>
                  <w:pPr>
                    <w:widowControl/>
                    <w:jc w:val="center"/>
                    <w:rPr>
                      <w:rFonts w:hint="eastAsia" w:eastAsia="宋体"/>
                      <w:color w:val="auto"/>
                      <w:kern w:val="0"/>
                      <w:sz w:val="18"/>
                      <w:szCs w:val="18"/>
                      <w:lang w:eastAsia="zh-CN"/>
                    </w:rPr>
                  </w:pPr>
                  <w:r>
                    <w:rPr>
                      <w:rFonts w:hint="eastAsia"/>
                      <w:color w:val="auto"/>
                      <w:kern w:val="0"/>
                      <w:sz w:val="18"/>
                      <w:szCs w:val="18"/>
                      <w:lang w:val="en-US" w:eastAsia="zh-CN"/>
                    </w:rPr>
                    <w:t>/</w:t>
                  </w:r>
                </w:p>
              </w:tc>
              <w:tc>
                <w:tcPr>
                  <w:tcW w:w="735" w:type="dxa"/>
                  <w:tcBorders>
                    <w:tl2br w:val="nil"/>
                    <w:tr2bl w:val="nil"/>
                  </w:tcBorders>
                  <w:noWrap w:val="0"/>
                  <w:vAlign w:val="center"/>
                </w:tcPr>
                <w:p>
                  <w:pPr>
                    <w:widowControl/>
                    <w:jc w:val="center"/>
                    <w:rPr>
                      <w:rFonts w:hint="default"/>
                      <w:color w:val="auto"/>
                      <w:kern w:val="0"/>
                      <w:sz w:val="18"/>
                      <w:szCs w:val="18"/>
                      <w:lang w:val="en-US"/>
                    </w:rPr>
                  </w:pPr>
                  <w:r>
                    <w:rPr>
                      <w:rFonts w:hint="eastAsia"/>
                      <w:color w:val="auto"/>
                      <w:kern w:val="0"/>
                      <w:sz w:val="18"/>
                      <w:szCs w:val="18"/>
                      <w:lang w:val="en-US" w:eastAsia="zh-CN"/>
                    </w:rPr>
                    <w:t>33.3</w:t>
                  </w:r>
                </w:p>
              </w:tc>
              <w:tc>
                <w:tcPr>
                  <w:tcW w:w="525" w:type="dxa"/>
                  <w:tcBorders>
                    <w:tl2br w:val="nil"/>
                    <w:tr2bl w:val="nil"/>
                  </w:tcBorders>
                  <w:noWrap w:val="0"/>
                  <w:vAlign w:val="center"/>
                </w:tcPr>
                <w:p>
                  <w:pPr>
                    <w:widowControl/>
                    <w:jc w:val="center"/>
                    <w:rPr>
                      <w:rFonts w:hint="default"/>
                      <w:color w:val="auto"/>
                      <w:kern w:val="0"/>
                      <w:sz w:val="18"/>
                      <w:szCs w:val="18"/>
                      <w:lang w:val="en-US"/>
                    </w:rPr>
                  </w:pPr>
                  <w:r>
                    <w:rPr>
                      <w:rFonts w:hint="eastAsia"/>
                      <w:color w:val="auto"/>
                      <w:kern w:val="0"/>
                      <w:sz w:val="18"/>
                      <w:szCs w:val="18"/>
                      <w:lang w:val="en-US" w:eastAsia="zh-CN"/>
                    </w:rPr>
                    <w:t>33.3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09" w:type="dxa"/>
                  <w:vMerge w:val="continue"/>
                  <w:tcBorders>
                    <w:tl2br w:val="nil"/>
                    <w:tr2bl w:val="nil"/>
                  </w:tcBorders>
                  <w:noWrap w:val="0"/>
                  <w:vAlign w:val="center"/>
                </w:tcPr>
                <w:p>
                  <w:pPr>
                    <w:widowControl/>
                    <w:jc w:val="center"/>
                    <w:rPr>
                      <w:rFonts w:hint="eastAsia"/>
                      <w:color w:val="auto"/>
                      <w:kern w:val="0"/>
                      <w:sz w:val="18"/>
                      <w:szCs w:val="18"/>
                      <w:lang w:eastAsia="zh-CN"/>
                    </w:rPr>
                  </w:pPr>
                </w:p>
              </w:tc>
              <w:tc>
                <w:tcPr>
                  <w:tcW w:w="1098" w:type="dxa"/>
                  <w:tcBorders>
                    <w:tl2br w:val="nil"/>
                    <w:tr2bl w:val="nil"/>
                  </w:tcBorders>
                  <w:noWrap w:val="0"/>
                  <w:vAlign w:val="center"/>
                </w:tcPr>
                <w:p>
                  <w:pPr>
                    <w:widowControl/>
                    <w:jc w:val="center"/>
                    <w:rPr>
                      <w:rFonts w:hint="eastAsia"/>
                      <w:color w:val="auto"/>
                      <w:kern w:val="0"/>
                      <w:sz w:val="18"/>
                      <w:szCs w:val="18"/>
                      <w:lang w:val="en-US" w:eastAsia="zh-CN"/>
                    </w:rPr>
                  </w:pPr>
                  <w:r>
                    <w:rPr>
                      <w:rFonts w:hint="eastAsia"/>
                      <w:color w:val="auto"/>
                      <w:kern w:val="0"/>
                      <w:sz w:val="18"/>
                      <w:szCs w:val="18"/>
                      <w:lang w:val="en-US" w:eastAsia="zh-CN"/>
                    </w:rPr>
                    <w:t>启东市饮用水 水源保护区</w:t>
                  </w:r>
                </w:p>
              </w:tc>
              <w:tc>
                <w:tcPr>
                  <w:tcW w:w="820" w:type="dxa"/>
                  <w:tcBorders>
                    <w:tl2br w:val="nil"/>
                    <w:tr2bl w:val="nil"/>
                  </w:tcBorders>
                  <w:noWrap w:val="0"/>
                  <w:vAlign w:val="center"/>
                </w:tcPr>
                <w:p>
                  <w:pPr>
                    <w:widowControl/>
                    <w:jc w:val="center"/>
                    <w:rPr>
                      <w:rFonts w:hint="eastAsia" w:eastAsia="宋体"/>
                      <w:color w:val="auto"/>
                      <w:kern w:val="0"/>
                      <w:sz w:val="18"/>
                      <w:szCs w:val="18"/>
                      <w:lang w:eastAsia="zh-CN"/>
                    </w:rPr>
                  </w:pPr>
                  <w:r>
                    <w:rPr>
                      <w:rFonts w:hint="eastAsia"/>
                      <w:color w:val="auto"/>
                      <w:kern w:val="0"/>
                      <w:sz w:val="18"/>
                      <w:szCs w:val="18"/>
                      <w:lang w:eastAsia="zh-CN"/>
                    </w:rPr>
                    <w:t>水源保护区</w:t>
                  </w:r>
                </w:p>
              </w:tc>
              <w:tc>
                <w:tcPr>
                  <w:tcW w:w="1790" w:type="dxa"/>
                  <w:tcBorders>
                    <w:tl2br w:val="nil"/>
                    <w:tr2bl w:val="nil"/>
                  </w:tcBorders>
                  <w:noWrap w:val="0"/>
                  <w:vAlign w:val="center"/>
                </w:tcPr>
                <w:p>
                  <w:pPr>
                    <w:widowControl/>
                    <w:jc w:val="both"/>
                    <w:rPr>
                      <w:rFonts w:hint="eastAsia"/>
                      <w:color w:val="auto"/>
                      <w:kern w:val="0"/>
                      <w:sz w:val="18"/>
                      <w:szCs w:val="18"/>
                      <w:lang w:val="en-US" w:eastAsia="zh-CN"/>
                    </w:rPr>
                  </w:pPr>
                  <w:r>
                    <w:rPr>
                      <w:rFonts w:hint="eastAsia"/>
                      <w:color w:val="auto"/>
                      <w:kern w:val="0"/>
                      <w:sz w:val="18"/>
                      <w:szCs w:val="18"/>
                      <w:lang w:val="en-US" w:eastAsia="zh-CN"/>
                    </w:rPr>
                    <w:t>一级保护区位于启东市南侧、崇明岛北侧长江水域。范围为：取水口上游1000米至下游500米，及其两岸背水坡堤脚外100米范围内的水域和陆域。位于启东市南侧、崇明岛北侧长江水域。二级保护区：一级保护区以外上溯2000米、下延500米范围内的水域和陆域。准保护区：二级保护区以外上溯2000米、下延1000米范围内的水域和陆域</w:t>
                  </w:r>
                </w:p>
              </w:tc>
              <w:tc>
                <w:tcPr>
                  <w:tcW w:w="795" w:type="dxa"/>
                  <w:tcBorders>
                    <w:tl2br w:val="nil"/>
                    <w:tr2bl w:val="nil"/>
                  </w:tcBorders>
                  <w:noWrap w:val="0"/>
                  <w:vAlign w:val="center"/>
                </w:tcPr>
                <w:p>
                  <w:pPr>
                    <w:keepNext w:val="0"/>
                    <w:keepLines w:val="0"/>
                    <w:widowControl/>
                    <w:suppressLineNumbers w:val="0"/>
                    <w:jc w:val="center"/>
                    <w:rPr>
                      <w:rFonts w:hint="eastAsia" w:eastAsia="宋体"/>
                      <w:color w:val="auto"/>
                      <w:kern w:val="0"/>
                      <w:sz w:val="18"/>
                      <w:szCs w:val="18"/>
                      <w:lang w:val="en-US" w:eastAsia="zh-CN"/>
                    </w:rPr>
                  </w:pPr>
                  <w:r>
                    <w:rPr>
                      <w:rFonts w:hint="eastAsia"/>
                      <w:color w:val="auto"/>
                      <w:kern w:val="0"/>
                      <w:sz w:val="18"/>
                      <w:szCs w:val="18"/>
                      <w:lang w:val="en-US" w:eastAsia="zh-CN"/>
                    </w:rPr>
                    <w:t>/</w:t>
                  </w:r>
                </w:p>
              </w:tc>
              <w:tc>
                <w:tcPr>
                  <w:tcW w:w="915" w:type="dxa"/>
                  <w:tcBorders>
                    <w:tl2br w:val="nil"/>
                    <w:tr2bl w:val="nil"/>
                  </w:tcBorders>
                  <w:noWrap w:val="0"/>
                  <w:vAlign w:val="center"/>
                </w:tcPr>
                <w:p>
                  <w:pPr>
                    <w:widowControl/>
                    <w:jc w:val="center"/>
                    <w:rPr>
                      <w:rFonts w:hint="default"/>
                      <w:color w:val="auto"/>
                      <w:kern w:val="0"/>
                      <w:sz w:val="18"/>
                      <w:szCs w:val="18"/>
                      <w:lang w:val="en-US" w:eastAsia="zh-CN"/>
                    </w:rPr>
                  </w:pPr>
                  <w:r>
                    <w:rPr>
                      <w:rFonts w:hint="eastAsia"/>
                      <w:color w:val="auto"/>
                      <w:kern w:val="0"/>
                      <w:sz w:val="18"/>
                      <w:szCs w:val="18"/>
                      <w:lang w:val="en-US" w:eastAsia="zh-CN"/>
                    </w:rPr>
                    <w:t>1.4</w:t>
                  </w:r>
                </w:p>
              </w:tc>
              <w:tc>
                <w:tcPr>
                  <w:tcW w:w="735" w:type="dxa"/>
                  <w:tcBorders>
                    <w:tl2br w:val="nil"/>
                    <w:tr2bl w:val="nil"/>
                  </w:tcBorders>
                  <w:noWrap w:val="0"/>
                  <w:vAlign w:val="center"/>
                </w:tcPr>
                <w:p>
                  <w:pPr>
                    <w:widowControl/>
                    <w:jc w:val="center"/>
                    <w:rPr>
                      <w:rFonts w:hint="default"/>
                      <w:color w:val="auto"/>
                      <w:kern w:val="0"/>
                      <w:sz w:val="18"/>
                      <w:szCs w:val="18"/>
                      <w:lang w:val="en-US" w:eastAsia="zh-CN"/>
                    </w:rPr>
                  </w:pPr>
                  <w:r>
                    <w:rPr>
                      <w:rFonts w:hint="eastAsia"/>
                      <w:color w:val="auto"/>
                      <w:kern w:val="0"/>
                      <w:sz w:val="18"/>
                      <w:szCs w:val="18"/>
                      <w:lang w:val="en-US" w:eastAsia="zh-CN"/>
                    </w:rPr>
                    <w:t>/</w:t>
                  </w:r>
                </w:p>
              </w:tc>
              <w:tc>
                <w:tcPr>
                  <w:tcW w:w="525" w:type="dxa"/>
                  <w:tcBorders>
                    <w:tl2br w:val="nil"/>
                    <w:tr2bl w:val="nil"/>
                  </w:tcBorders>
                  <w:noWrap w:val="0"/>
                  <w:vAlign w:val="center"/>
                </w:tcPr>
                <w:p>
                  <w:pPr>
                    <w:widowControl/>
                    <w:jc w:val="center"/>
                    <w:rPr>
                      <w:rFonts w:hint="default"/>
                      <w:color w:val="auto"/>
                      <w:kern w:val="0"/>
                      <w:sz w:val="18"/>
                      <w:szCs w:val="18"/>
                      <w:lang w:val="en-US" w:eastAsia="zh-CN"/>
                    </w:rPr>
                  </w:pPr>
                  <w:r>
                    <w:rPr>
                      <w:rFonts w:hint="eastAsia"/>
                      <w:color w:val="auto"/>
                      <w:kern w:val="0"/>
                      <w:sz w:val="18"/>
                      <w:szCs w:val="18"/>
                      <w:lang w:val="en-US" w:eastAsia="zh-CN"/>
                    </w:rPr>
                    <w:t>1.4</w:t>
                  </w:r>
                </w:p>
              </w:tc>
            </w:tr>
          </w:tbl>
          <w:p>
            <w:pPr>
              <w:adjustRightInd w:val="0"/>
              <w:snapToGrid w:val="0"/>
              <w:spacing w:line="500" w:lineRule="exact"/>
              <w:ind w:firstLine="420" w:firstLineChars="200"/>
              <w:rPr>
                <w:rFonts w:hint="eastAsia"/>
                <w:bCs/>
                <w:color w:val="auto"/>
                <w:szCs w:val="21"/>
              </w:rPr>
            </w:pPr>
            <w:r>
              <w:rPr>
                <w:rFonts w:hint="eastAsia"/>
                <w:bCs/>
                <w:color w:val="auto"/>
                <w:szCs w:val="21"/>
              </w:rPr>
              <w:t>本项目</w:t>
            </w:r>
            <w:r>
              <w:rPr>
                <w:rFonts w:hint="eastAsia"/>
                <w:bCs/>
                <w:color w:val="auto"/>
                <w:szCs w:val="21"/>
                <w:lang w:eastAsia="zh-CN"/>
              </w:rPr>
              <w:t>距离启东市饮用水源保护区</w:t>
            </w:r>
            <w:r>
              <w:rPr>
                <w:rFonts w:hint="eastAsia"/>
                <w:bCs/>
                <w:color w:val="auto"/>
                <w:szCs w:val="21"/>
                <w:lang w:val="en-US" w:eastAsia="zh-CN"/>
              </w:rPr>
              <w:t>4.3km，</w:t>
            </w:r>
            <w:r>
              <w:rPr>
                <w:rFonts w:hint="eastAsia"/>
                <w:bCs/>
                <w:color w:val="auto"/>
                <w:szCs w:val="21"/>
              </w:rPr>
              <w:t>距离头兴港河</w:t>
            </w:r>
            <w:r>
              <w:rPr>
                <w:rFonts w:hint="eastAsia"/>
                <w:bCs/>
                <w:color w:val="auto"/>
                <w:szCs w:val="21"/>
                <w:lang w:val="en-US" w:eastAsia="zh-CN"/>
              </w:rPr>
              <w:t>3.3k</w:t>
            </w:r>
            <w:r>
              <w:rPr>
                <w:rFonts w:hint="eastAsia"/>
                <w:bCs/>
                <w:color w:val="auto"/>
                <w:szCs w:val="21"/>
              </w:rPr>
              <w:t>m，对照《省政府关于印发江苏省生态空间管控区域规划的通知》（苏政发〔2020〕1号）及《江苏省自然资源厅关于启东市生态空间管控区域调整方案的复函》，本项目距离项目</w:t>
            </w:r>
            <w:r>
              <w:rPr>
                <w:rFonts w:hint="eastAsia"/>
                <w:bCs/>
                <w:color w:val="auto"/>
                <w:szCs w:val="21"/>
                <w:lang w:eastAsia="zh-CN"/>
              </w:rPr>
              <w:t>较</w:t>
            </w:r>
            <w:r>
              <w:rPr>
                <w:rFonts w:hint="eastAsia"/>
                <w:bCs/>
                <w:color w:val="auto"/>
                <w:szCs w:val="21"/>
              </w:rPr>
              <w:t>近的生态空间管控区域为</w:t>
            </w:r>
            <w:r>
              <w:rPr>
                <w:rFonts w:hint="eastAsia"/>
                <w:bCs/>
                <w:color w:val="auto"/>
                <w:szCs w:val="21"/>
                <w:lang w:val="en-US" w:eastAsia="zh-CN"/>
              </w:rPr>
              <w:t>头兴港河清水通道维护区</w:t>
            </w:r>
            <w:r>
              <w:rPr>
                <w:rFonts w:hint="eastAsia"/>
                <w:bCs/>
                <w:color w:val="auto"/>
                <w:szCs w:val="21"/>
                <w:lang w:eastAsia="zh-CN"/>
              </w:rPr>
              <w:t>，距离为</w:t>
            </w:r>
            <w:r>
              <w:rPr>
                <w:rFonts w:hint="eastAsia"/>
                <w:bCs/>
                <w:color w:val="auto"/>
                <w:szCs w:val="21"/>
                <w:lang w:val="en-US" w:eastAsia="zh-CN"/>
              </w:rPr>
              <w:t>2.8km</w:t>
            </w:r>
            <w:r>
              <w:rPr>
                <w:rFonts w:hint="eastAsia"/>
                <w:bCs/>
                <w:color w:val="auto"/>
                <w:szCs w:val="21"/>
              </w:rPr>
              <w:t>，本项目不在其保护区范围内，与生态空间管控区要求相符。因此，项目符合《省政府关于印发江苏省生态空间管控区域规划的通知》（苏政发﹝2020﹞1号）。</w:t>
            </w:r>
          </w:p>
          <w:p>
            <w:pPr>
              <w:adjustRightInd w:val="0"/>
              <w:snapToGrid w:val="0"/>
              <w:spacing w:line="500" w:lineRule="exact"/>
              <w:ind w:firstLine="420" w:firstLineChars="200"/>
              <w:rPr>
                <w:rFonts w:hint="eastAsia"/>
                <w:bCs/>
                <w:color w:val="auto"/>
                <w:szCs w:val="21"/>
              </w:rPr>
            </w:pPr>
            <w:r>
              <w:rPr>
                <w:rFonts w:hint="eastAsia"/>
                <w:bCs/>
                <w:color w:val="auto"/>
                <w:szCs w:val="21"/>
              </w:rPr>
              <w:t>③ 与“三线一单”生</w:t>
            </w:r>
            <w:bookmarkStart w:id="4" w:name="OLE_LINK2"/>
            <w:r>
              <w:rPr>
                <w:rFonts w:hint="eastAsia"/>
                <w:bCs/>
                <w:color w:val="auto"/>
                <w:szCs w:val="21"/>
              </w:rPr>
              <w:t>态环境分区管控实施方案</w:t>
            </w:r>
            <w:bookmarkEnd w:id="4"/>
            <w:r>
              <w:rPr>
                <w:rFonts w:hint="eastAsia"/>
                <w:bCs/>
                <w:color w:val="auto"/>
                <w:szCs w:val="21"/>
              </w:rPr>
              <w:t>的相符性分析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A、对照与《市政府办公室关于印发南通市“三线一单”生态环境分区管控实施方案的通知》（通政办规〔2021〕4号）中“</w:t>
            </w:r>
            <w:r>
              <w:rPr>
                <w:rFonts w:ascii="宋体" w:hAnsi="宋体" w:eastAsia="宋体" w:cs="宋体"/>
                <w:color w:val="auto"/>
                <w:sz w:val="21"/>
                <w:szCs w:val="21"/>
              </w:rPr>
              <w:t xml:space="preserve">南通市环境管控单元图 </w:t>
            </w:r>
            <w:r>
              <w:rPr>
                <w:rFonts w:hint="eastAsia"/>
                <w:color w:val="auto"/>
                <w:sz w:val="21"/>
                <w:szCs w:val="21"/>
                <w:lang w:val="en-US" w:eastAsia="zh-CN"/>
              </w:rPr>
              <w:t>”本项目位于</w:t>
            </w:r>
            <w:r>
              <w:rPr>
                <w:rFonts w:hint="eastAsia"/>
                <w:color w:val="auto"/>
                <w:szCs w:val="21"/>
                <w:lang w:val="en-US" w:eastAsia="zh-CN"/>
              </w:rPr>
              <w:t>启东经济开发区人民西路3333号</w:t>
            </w:r>
            <w:r>
              <w:rPr>
                <w:rFonts w:hint="eastAsia"/>
                <w:color w:val="auto"/>
                <w:sz w:val="21"/>
                <w:szCs w:val="21"/>
                <w:lang w:val="en-US" w:eastAsia="zh-CN"/>
              </w:rPr>
              <w:t>，属于重点管控单元，其相符性分析见下表1-4。</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lang w:eastAsia="zh-CN"/>
              </w:rPr>
              <w:t>表</w:t>
            </w:r>
            <w:r>
              <w:rPr>
                <w:rFonts w:hint="eastAsia"/>
                <w:b/>
                <w:bCs/>
                <w:color w:val="auto"/>
                <w:lang w:val="en-US" w:eastAsia="zh-CN"/>
              </w:rPr>
              <w:t xml:space="preserve">1-4 </w:t>
            </w:r>
            <w:r>
              <w:rPr>
                <w:rFonts w:hint="eastAsia"/>
                <w:b/>
                <w:bCs/>
                <w:color w:val="auto"/>
              </w:rPr>
              <w:t>与南通市“三线一单”生态环境分区管控实施方案相符性</w:t>
            </w:r>
          </w:p>
          <w:tbl>
            <w:tblPr>
              <w:tblStyle w:val="12"/>
              <w:tblW w:w="710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9"/>
              <w:gridCol w:w="4155"/>
              <w:gridCol w:w="1385"/>
              <w:gridCol w:w="6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olor w:val="auto"/>
                      <w:sz w:val="18"/>
                      <w:szCs w:val="18"/>
                      <w:vertAlign w:val="baseline"/>
                    </w:rPr>
                  </w:pPr>
                  <w:r>
                    <w:rPr>
                      <w:color w:val="auto"/>
                      <w:sz w:val="18"/>
                      <w:szCs w:val="18"/>
                    </w:rPr>
                    <w:t>管控类别</w:t>
                  </w:r>
                </w:p>
              </w:tc>
              <w:tc>
                <w:tcPr>
                  <w:tcW w:w="4155"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olor w:val="auto"/>
                      <w:sz w:val="18"/>
                      <w:szCs w:val="18"/>
                      <w:vertAlign w:val="baseline"/>
                    </w:rPr>
                  </w:pPr>
                  <w:r>
                    <w:rPr>
                      <w:color w:val="auto"/>
                      <w:sz w:val="18"/>
                      <w:szCs w:val="18"/>
                    </w:rPr>
                    <w:t>重点管控要求</w:t>
                  </w:r>
                </w:p>
              </w:tc>
              <w:tc>
                <w:tcPr>
                  <w:tcW w:w="1385"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olor w:val="auto"/>
                      <w:sz w:val="18"/>
                      <w:szCs w:val="18"/>
                      <w:vertAlign w:val="baseline"/>
                    </w:rPr>
                  </w:pPr>
                  <w:r>
                    <w:rPr>
                      <w:rFonts w:hint="eastAsia"/>
                      <w:color w:val="auto"/>
                      <w:sz w:val="18"/>
                      <w:szCs w:val="18"/>
                      <w:lang w:eastAsia="zh-CN"/>
                    </w:rPr>
                    <w:t>本项目</w:t>
                  </w:r>
                </w:p>
              </w:tc>
              <w:tc>
                <w:tcPr>
                  <w:tcW w:w="669"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both"/>
                    <w:textAlignment w:val="auto"/>
                    <w:rPr>
                      <w:rFonts w:hint="eastAsia"/>
                      <w:color w:val="auto"/>
                      <w:sz w:val="18"/>
                      <w:szCs w:val="18"/>
                      <w:vertAlign w:val="baseline"/>
                    </w:rPr>
                  </w:pPr>
                  <w:r>
                    <w:rPr>
                      <w:rFonts w:hint="eastAsia"/>
                      <w:color w:val="auto"/>
                      <w:sz w:val="18"/>
                      <w:szCs w:val="18"/>
                      <w:lang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vertAlign w:val="baseline"/>
                    </w:rPr>
                  </w:pPr>
                  <w:r>
                    <w:rPr>
                      <w:rFonts w:ascii="宋体" w:hAnsi="宋体" w:eastAsia="宋体" w:cs="宋体"/>
                      <w:color w:val="auto"/>
                      <w:sz w:val="18"/>
                      <w:szCs w:val="18"/>
                    </w:rPr>
                    <w:t>空间布局约束</w:t>
                  </w:r>
                </w:p>
              </w:tc>
              <w:tc>
                <w:tcPr>
                  <w:tcW w:w="415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rPr>
                    <w:t>1.严格执行《南通市长江经济带生态环境保护实施规划》（通政办发〔2018〕42号）、《南通市“两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rPr>
                    <w:t>减六治三提升”专项行动实施方案》（通政办发〔2017〕55号）、《南通市打赢蓝天保卫战三年行动计划实施方案（2018~2020年）》（通政发〔2018〕63号）、《南通市土壤污染防治工作方案》（通政发〔2017〕20号）、《南通市水污染防治工作方案》（通政发〔2016〕35号）等文件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rPr>
                    <w:t>2.严格执行《（长江经济带发展负面清单指南）江苏省实施细则（试行）》；禁止引进列入《南通市工业结构调整指导目录》淘汰类的产业、列入《南通市工业产业技术改造负面清单》严格禁止的技术改造工艺装备及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rPr>
                    <w:t>3.根据《南通市长江经济带生态环境保护实施规划》（通政办发〔2018〕42号），沿江地区不再新布局石化项目。禁止在长江干流自然保护区、风景名胜区等重点区域新建工业类和污染类项目，现有高风险企业实施限期治理。自然保护区核心区及缓冲区内禁止新建码头工程，逐步拆除已有的各类生产设施以及危化品、石油类泊位。禁止向内河和江海直达船舶销售渣油、重油以及不符合标准的普通柴油，禁止海船使用不符合要求的燃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rPr>
                    <w:t>4.根据《省政府关于加强全省化工园区化工集中区规范化管理的通知》（苏政发〔2020〕94号）、《市政府关于印发南通市化工产业环保准入指导意见的通知》（通政发〔2014〕10号），化工园区、化工集中区处于长江干流和主要支流岸线1公里范围（以下简称沿江1公里范围）内的区域不得新建、扩建化工企业和项目（安全、环保、节能、信息化智能化、提升产品品质技术改造项目除外）。禁止建设属于国家、省和我市禁止类、淘汰类生产工艺、产品的项目。从严控制农药、传统医药、染料化工项目审批，原则上不再新上医药中间体、农药中间体、染料中间体项目（具有自主知识产权的关键中间体及高产出、低污染项目除外，分别由科技部门和环保部门认定）。沿江化工园区不再新增农药、染料化工企业。</w:t>
                  </w:r>
                </w:p>
              </w:tc>
              <w:tc>
                <w:tcPr>
                  <w:tcW w:w="1385" w:type="dxa"/>
                  <w:tcBorders>
                    <w:tl2br w:val="nil"/>
                    <w:tr2bl w:val="nil"/>
                  </w:tcBorders>
                  <w:vAlign w:val="center"/>
                </w:tcPr>
                <w:p>
                  <w:pPr>
                    <w:keepNext w:val="0"/>
                    <w:keepLines w:val="0"/>
                    <w:widowControl/>
                    <w:suppressLineNumbers w:val="0"/>
                    <w:jc w:val="both"/>
                    <w:rPr>
                      <w:color w:val="auto"/>
                      <w:sz w:val="18"/>
                      <w:szCs w:val="18"/>
                    </w:rPr>
                  </w:pPr>
                  <w:r>
                    <w:rPr>
                      <w:rFonts w:hint="eastAsia" w:ascii="宋体" w:hAnsi="宋体" w:eastAsia="宋体" w:cs="宋体"/>
                      <w:color w:val="auto"/>
                      <w:kern w:val="0"/>
                      <w:sz w:val="18"/>
                      <w:szCs w:val="18"/>
                      <w:lang w:val="en-US" w:eastAsia="zh-CN" w:bidi="ar"/>
                    </w:rPr>
                    <w:t>本项目符合上述文件的相关要求；不属于淘汰类产业和禁止的技术改造工艺装备及产品；本项目不属于石化项目，不涉及自然保护区及风景名胜区；不属于农药、传统医药、染料等项目。符合空间布局约束的相关要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vertAlign w:val="baseline"/>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18"/>
                      <w:szCs w:val="18"/>
                    </w:rPr>
                  </w:pPr>
                  <w:r>
                    <w:rPr>
                      <w:rFonts w:hint="eastAsia" w:ascii="宋体" w:hAnsi="宋体" w:eastAsia="宋体" w:cs="宋体"/>
                      <w:color w:val="auto"/>
                      <w:sz w:val="18"/>
                      <w:szCs w:val="18"/>
                    </w:rPr>
                    <w:t>污染物排放管控</w:t>
                  </w:r>
                </w:p>
              </w:tc>
              <w:tc>
                <w:tcPr>
                  <w:tcW w:w="415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rPr>
                    <w:t>1.严格落实污染物排放总量控制制度，把主要污染物排放总量指标作为建设项目环境影响评价审批的前置条件。排放主要污染物的建设项目，在环境影响评价文件（以下简称环评文件）审批前，须取得主要污染物排放总量指标。2.用于建设项目的“可替代总量指标”不得低于建设项目所需替代的主要污染物排放总量指标。上一年度环境空气质量年平均浓度不达标的地区、水环境质量未达到要求的地区，相关污染物应 按照建设项目所需替代的主要污染物排放总量指标的2倍进行削减替代（燃煤发电机组大气污染 物排放浓度基本达到燃气轮机组排放限值的除外）；细颗粒物（PM</w:t>
                  </w:r>
                  <w:r>
                    <w:rPr>
                      <w:rFonts w:hint="eastAsia"/>
                      <w:color w:val="auto"/>
                      <w:sz w:val="18"/>
                      <w:szCs w:val="18"/>
                      <w:vertAlign w:val="subscript"/>
                    </w:rPr>
                    <w:t>2.5</w:t>
                  </w:r>
                  <w:r>
                    <w:rPr>
                      <w:rFonts w:hint="eastAsia"/>
                      <w:color w:val="auto"/>
                      <w:sz w:val="18"/>
                      <w:szCs w:val="18"/>
                      <w:vertAlign w:val="baseline"/>
                    </w:rPr>
                    <w:t>）年平均浓度不达标的地区，二氧化硫、氮氧化物、烟粉尘、挥发性有机物四项污染物均需进行</w:t>
                  </w:r>
                  <w:r>
                    <w:rPr>
                      <w:rFonts w:hint="eastAsia"/>
                      <w:color w:val="auto"/>
                      <w:sz w:val="18"/>
                      <w:szCs w:val="18"/>
                      <w:vertAlign w:val="baseline"/>
                      <w:lang w:val="en-US" w:eastAsia="zh-CN"/>
                    </w:rPr>
                    <w:t>2</w:t>
                  </w:r>
                  <w:r>
                    <w:rPr>
                      <w:rFonts w:hint="eastAsia"/>
                      <w:color w:val="auto"/>
                      <w:sz w:val="18"/>
                      <w:szCs w:val="18"/>
                      <w:vertAlign w:val="baseline"/>
                    </w:rPr>
                    <w:t>倍削减替代（燃煤发电机组大气污染物排放浓度基本达到燃气轮机组排放限值的除外）。3.落实《省政府办公厅关于印发江苏省排污权有偿使用和交易管理暂行办法的通知》（苏政办发〔2017〕115号）及配套的实施细则中，关于新、改扩建项目获得排污权指标的相关要求。</w:t>
                  </w:r>
                </w:p>
              </w:tc>
              <w:tc>
                <w:tcPr>
                  <w:tcW w:w="13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auto"/>
                      <w:sz w:val="18"/>
                      <w:szCs w:val="18"/>
                      <w:vertAlign w:val="baseline"/>
                    </w:rPr>
                  </w:pPr>
                  <w:r>
                    <w:rPr>
                      <w:rFonts w:hint="eastAsia"/>
                      <w:color w:val="auto"/>
                      <w:sz w:val="18"/>
                      <w:szCs w:val="18"/>
                      <w:vertAlign w:val="baseline"/>
                    </w:rPr>
                    <w:t>本项目为登记管理类，根据南通市生态环境部门规定，暂无需申请排污总量。本项目环境空气质量均可达到环境空气质量二级标准，水环境质量达到相关要求，故不会突破生态环境承载力</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18"/>
                      <w:szCs w:val="18"/>
                    </w:rPr>
                  </w:pPr>
                  <w:r>
                    <w:rPr>
                      <w:rFonts w:hint="eastAsia" w:ascii="宋体" w:hAnsi="宋体" w:eastAsia="宋体" w:cs="宋体"/>
                      <w:color w:val="auto"/>
                      <w:sz w:val="18"/>
                      <w:szCs w:val="18"/>
                    </w:rPr>
                    <w:t>环境风险防控</w:t>
                  </w:r>
                </w:p>
              </w:tc>
              <w:tc>
                <w:tcPr>
                  <w:tcW w:w="415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rPr>
                    <w:t>1.落实《南通市突发环境事件应急预案（2020 年修订版）》（通政办发〔2020〕46号）。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rPr>
                    <w:t>2.根据《南通市化工产业安全环保整治提升三年行动计划（2019~2021年）》（通政办发〔2019〕102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rPr>
                    <w:t>号），保留提升的化工生产企业必须制订整治提升实施方案。严格危险废物处置管理。企业须在环评报告中准确全面评价固体废物的种类、数量、属性及产生、贮存、利用或处置情况。在安评报告中对固体废物贮存、利用处置环节进行安全性评价，并按标准规范设计、建造或</w:t>
                  </w:r>
                  <w:r>
                    <w:rPr>
                      <w:rFonts w:hint="eastAsia"/>
                      <w:color w:val="auto"/>
                      <w:sz w:val="18"/>
                      <w:szCs w:val="18"/>
                      <w:vertAlign w:val="baseline"/>
                      <w:lang w:eastAsia="zh-CN"/>
                    </w:rPr>
                    <w:t>技改</w:t>
                  </w:r>
                  <w:r>
                    <w:rPr>
                      <w:rFonts w:hint="eastAsia"/>
                      <w:color w:val="auto"/>
                      <w:sz w:val="18"/>
                      <w:szCs w:val="18"/>
                      <w:vertAlign w:val="baseline"/>
                    </w:rPr>
                    <w:t>贮存、利用处置危险废物的设施设备。生产企业应按照相关管理要求申报、处置废弃危险化学品。强化对 危险废物的收集、贮存和处置的监督管理，实现危险废物监管无盲区、无死角。 3.根据《关于加快全省化工钢铁煤电行业转型升级高质量发展的实施意见》（苏办发〔2018〕32 号），钢铁行业企业总平面布置必须符合国家规范要求，有较大变更的必须进行安全风险分析和评估论证。企业必须按规定设计、设置和运行自动控制系统，按规定实施全流程自动控制改造，有 条件的鼓励创建智能工厂（装置）。企业涉及重大危险源的设施设备与周边重要公共建筑安全距离须符合国家相关标准要求。坚决淘汰超期服役的高风险设备和设施。</w:t>
                  </w:r>
                </w:p>
              </w:tc>
              <w:tc>
                <w:tcPr>
                  <w:tcW w:w="13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vertAlign w:val="baseline"/>
                    </w:rPr>
                  </w:pPr>
                  <w:r>
                    <w:rPr>
                      <w:rFonts w:hint="eastAsia"/>
                      <w:color w:val="auto"/>
                      <w:sz w:val="18"/>
                      <w:szCs w:val="18"/>
                      <w:vertAlign w:val="baseline"/>
                    </w:rPr>
                    <w:t>本项目为C1829其他针织或钩针编织服装制造，除生产设备使用润滑油外，不涉及其他环境风险物质，环境风险极小。项目投产前将编制企业突发环境应急预案，并报生态环境部门备案。</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18"/>
                      <w:szCs w:val="18"/>
                    </w:rPr>
                  </w:pPr>
                  <w:r>
                    <w:rPr>
                      <w:rFonts w:hint="eastAsia" w:ascii="宋体" w:hAnsi="宋体" w:eastAsia="宋体" w:cs="宋体"/>
                      <w:color w:val="auto"/>
                      <w:sz w:val="18"/>
                      <w:szCs w:val="18"/>
                    </w:rPr>
                    <w:t>资源利用效率要求</w:t>
                  </w:r>
                </w:p>
              </w:tc>
              <w:tc>
                <w:tcPr>
                  <w:tcW w:w="415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lang w:val="en-US" w:eastAsia="zh-CN"/>
                    </w:rPr>
                    <w:t>1、</w:t>
                  </w:r>
                  <w:r>
                    <w:rPr>
                      <w:rFonts w:hint="eastAsia"/>
                      <w:color w:val="auto"/>
                      <w:sz w:val="18"/>
                      <w:szCs w:val="18"/>
                      <w:vertAlign w:val="baseline"/>
                    </w:rPr>
                    <w:t>根据《中华人民共和国大气污染防治法》，禁燃区禁止新建、扩建燃用高污染燃料的项目和设施，已建成的应逐步或依法限期改用天然气、电或者其他清洁能源。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lang w:val="en-US" w:eastAsia="zh-CN"/>
                    </w:rPr>
                    <w:t>2、</w:t>
                  </w:r>
                  <w:r>
                    <w:rPr>
                      <w:rFonts w:hint="eastAsia"/>
                      <w:color w:val="auto"/>
                      <w:sz w:val="18"/>
                      <w:szCs w:val="18"/>
                      <w:vertAlign w:val="baseline"/>
                    </w:rPr>
                    <w:t>化工行业新建化工项目须达到国内清洁生产先进水平或行业先进水平，生产过程连续化、密闭化、自动化、智能化；钢铁行业沿海地区新建钢厂、其他地区钢厂改造升级项目必须符合《江苏省钢铁行业布局优化结构调整项目建设实施标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auto"/>
                      <w:sz w:val="18"/>
                      <w:szCs w:val="18"/>
                      <w:vertAlign w:val="baseline"/>
                    </w:rPr>
                  </w:pPr>
                  <w:r>
                    <w:rPr>
                      <w:rFonts w:hint="eastAsia"/>
                      <w:color w:val="auto"/>
                      <w:sz w:val="18"/>
                      <w:szCs w:val="18"/>
                      <w:vertAlign w:val="baseline"/>
                      <w:lang w:val="en-US" w:eastAsia="zh-CN"/>
                    </w:rPr>
                    <w:t>3、</w:t>
                  </w:r>
                  <w:r>
                    <w:rPr>
                      <w:rFonts w:hint="eastAsia"/>
                      <w:color w:val="auto"/>
                      <w:sz w:val="18"/>
                      <w:szCs w:val="18"/>
                      <w:vertAlign w:val="baseline"/>
                    </w:rPr>
                    <w:t>严格控制地下水开采。落实《江苏省地下水超采区划分方案》（苏政复〔2013〕59号），在海门区的海门城区、三厂、常乐等乡镇共计136.9平方公里，实施地下水禁采；在如东县的掘港及马塘、岔河、洋口、丰利等乡镇，海门区除三阳、海永外的大部分地区，启东市的汇龙、吕四、北新等乡镇，通州区的东社镇、二甲镇，通州湾的三余镇等地2095.8平方公里，实施地下水限采。</w:t>
                  </w:r>
                </w:p>
              </w:tc>
              <w:tc>
                <w:tcPr>
                  <w:tcW w:w="138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vertAlign w:val="baseline"/>
                    </w:rPr>
                  </w:pPr>
                  <w:r>
                    <w:rPr>
                      <w:rFonts w:hint="eastAsia"/>
                      <w:color w:val="auto"/>
                      <w:sz w:val="18"/>
                      <w:szCs w:val="18"/>
                      <w:vertAlign w:val="baseline"/>
                    </w:rPr>
                    <w:t>本项目为C1829其他针织或钩针编织服装制造，使用自来水、电、热电蒸汽及管道天然气，不使用高污染燃料</w:t>
                  </w:r>
                </w:p>
              </w:tc>
              <w:tc>
                <w:tcPr>
                  <w:tcW w:w="66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lang w:eastAsia="zh-CN"/>
              </w:rPr>
              <w:t>因此，</w:t>
            </w:r>
            <w:r>
              <w:rPr>
                <w:rFonts w:hint="eastAsia"/>
                <w:color w:val="auto"/>
              </w:rPr>
              <w:t>本项目的建设符合《南通市“三线一单”生态环境分区管控实施方案》（通政办规〔2021〕4号）中相关要求。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B、对照与《市政府办公室关于印发启东市“三线一单”生态环境分区管控实施方案的通知》（启政办规〔2022〕2号）中“</w:t>
            </w:r>
            <w:r>
              <w:rPr>
                <w:rFonts w:hint="eastAsia" w:ascii="宋体" w:hAnsi="宋体" w:eastAsia="宋体" w:cs="宋体"/>
                <w:b w:val="0"/>
                <w:bCs w:val="0"/>
                <w:color w:val="auto"/>
                <w:sz w:val="21"/>
                <w:szCs w:val="21"/>
              </w:rPr>
              <w:t>启东市环境管控单元名录</w:t>
            </w:r>
            <w:r>
              <w:rPr>
                <w:rFonts w:ascii="宋体" w:hAnsi="宋体" w:eastAsia="宋体" w:cs="宋体"/>
                <w:b w:val="0"/>
                <w:bCs w:val="0"/>
                <w:color w:val="auto"/>
                <w:sz w:val="21"/>
                <w:szCs w:val="21"/>
              </w:rPr>
              <w:t xml:space="preserve"> </w:t>
            </w:r>
            <w:r>
              <w:rPr>
                <w:rFonts w:hint="eastAsia"/>
                <w:b w:val="0"/>
                <w:bCs w:val="0"/>
                <w:color w:val="auto"/>
                <w:sz w:val="21"/>
                <w:szCs w:val="21"/>
                <w:lang w:val="en-US" w:eastAsia="zh-CN"/>
              </w:rPr>
              <w:t>”本项目位于启东经济开发区人民西路3333号，属于重点管控单元，其相符性分析见下表1-5。</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rPr>
            </w:pPr>
            <w:r>
              <w:rPr>
                <w:rFonts w:hint="eastAsia"/>
                <w:b/>
                <w:bCs/>
                <w:color w:val="auto"/>
                <w:lang w:eastAsia="zh-CN"/>
              </w:rPr>
              <w:t>表</w:t>
            </w:r>
            <w:r>
              <w:rPr>
                <w:rFonts w:hint="eastAsia"/>
                <w:b/>
                <w:bCs/>
                <w:color w:val="auto"/>
                <w:lang w:val="en-US" w:eastAsia="zh-CN"/>
              </w:rPr>
              <w:t xml:space="preserve">1-5 </w:t>
            </w:r>
            <w:r>
              <w:rPr>
                <w:rFonts w:hint="eastAsia"/>
                <w:b/>
                <w:bCs/>
                <w:color w:val="auto"/>
              </w:rPr>
              <w:t>与启东市</w:t>
            </w:r>
            <w:r>
              <w:rPr>
                <w:rFonts w:hint="eastAsia"/>
                <w:b/>
                <w:bCs/>
                <w:color w:val="auto"/>
                <w:lang w:eastAsia="zh-CN"/>
              </w:rPr>
              <w:t>经济开发区</w:t>
            </w:r>
            <w:r>
              <w:rPr>
                <w:rFonts w:hint="eastAsia"/>
                <w:b/>
                <w:bCs/>
                <w:color w:val="auto"/>
              </w:rPr>
              <w:t>重点管控单元相符性</w:t>
            </w:r>
          </w:p>
          <w:tbl>
            <w:tblPr>
              <w:tblStyle w:val="12"/>
              <w:tblW w:w="7241"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7"/>
              <w:gridCol w:w="3449"/>
              <w:gridCol w:w="2141"/>
              <w:gridCol w:w="7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87"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s="Times New Roman"/>
                      <w:color w:val="auto"/>
                      <w:kern w:val="0"/>
                      <w:sz w:val="18"/>
                      <w:szCs w:val="18"/>
                      <w:vertAlign w:val="baseline"/>
                      <w:lang w:eastAsia="zh-CN"/>
                    </w:rPr>
                  </w:pPr>
                  <w:r>
                    <w:rPr>
                      <w:color w:val="auto"/>
                      <w:sz w:val="18"/>
                      <w:szCs w:val="18"/>
                    </w:rPr>
                    <w:t>管控类别</w:t>
                  </w:r>
                </w:p>
              </w:tc>
              <w:tc>
                <w:tcPr>
                  <w:tcW w:w="3449"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s="Times New Roman"/>
                      <w:color w:val="auto"/>
                      <w:kern w:val="0"/>
                      <w:sz w:val="18"/>
                      <w:szCs w:val="18"/>
                      <w:vertAlign w:val="baseline"/>
                      <w:lang w:eastAsia="zh-CN"/>
                    </w:rPr>
                  </w:pPr>
                  <w:r>
                    <w:rPr>
                      <w:color w:val="auto"/>
                      <w:sz w:val="18"/>
                      <w:szCs w:val="18"/>
                    </w:rPr>
                    <w:t>重点管控要求</w:t>
                  </w:r>
                </w:p>
              </w:tc>
              <w:tc>
                <w:tcPr>
                  <w:tcW w:w="2141"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s="Times New Roman"/>
                      <w:color w:val="auto"/>
                      <w:kern w:val="0"/>
                      <w:sz w:val="18"/>
                      <w:szCs w:val="18"/>
                      <w:vertAlign w:val="baseline"/>
                      <w:lang w:eastAsia="zh-CN"/>
                    </w:rPr>
                  </w:pPr>
                  <w:r>
                    <w:rPr>
                      <w:rFonts w:hint="eastAsia"/>
                      <w:color w:val="auto"/>
                      <w:sz w:val="18"/>
                      <w:szCs w:val="18"/>
                      <w:lang w:eastAsia="zh-CN"/>
                    </w:rPr>
                    <w:t>本项目</w:t>
                  </w:r>
                </w:p>
              </w:tc>
              <w:tc>
                <w:tcPr>
                  <w:tcW w:w="764"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both"/>
                    <w:textAlignment w:val="auto"/>
                    <w:rPr>
                      <w:rFonts w:hint="eastAsia" w:cs="Times New Roman"/>
                      <w:color w:val="auto"/>
                      <w:kern w:val="0"/>
                      <w:sz w:val="18"/>
                      <w:szCs w:val="18"/>
                      <w:vertAlign w:val="baseline"/>
                      <w:lang w:eastAsia="zh-CN"/>
                    </w:rPr>
                  </w:pPr>
                  <w:r>
                    <w:rPr>
                      <w:rFonts w:hint="eastAsia"/>
                      <w:color w:val="auto"/>
                      <w:sz w:val="18"/>
                      <w:szCs w:val="18"/>
                      <w:vertAlign w:val="baseline"/>
                      <w:lang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87" w:type="dxa"/>
                  <w:tcBorders>
                    <w:tl2br w:val="nil"/>
                    <w:tr2bl w:val="nil"/>
                  </w:tcBorders>
                  <w:vAlign w:val="center"/>
                </w:tcPr>
                <w:p>
                  <w:pPr>
                    <w:keepNext w:val="0"/>
                    <w:keepLines w:val="0"/>
                    <w:widowControl/>
                    <w:suppressLineNumbers w:val="0"/>
                    <w:jc w:val="center"/>
                    <w:rPr>
                      <w:color w:val="auto"/>
                      <w:sz w:val="18"/>
                      <w:szCs w:val="18"/>
                    </w:rPr>
                  </w:pPr>
                  <w:r>
                    <w:rPr>
                      <w:rFonts w:hint="default" w:ascii="Times New Roman" w:hAnsi="Times New Roman" w:eastAsia="宋体" w:cs="Times New Roman"/>
                      <w:color w:val="000000"/>
                      <w:kern w:val="0"/>
                      <w:sz w:val="18"/>
                      <w:szCs w:val="18"/>
                      <w:lang w:val="en-US" w:eastAsia="zh-CN" w:bidi="ar"/>
                    </w:rPr>
                    <w:t>空间布局约束</w:t>
                  </w:r>
                </w:p>
              </w:tc>
              <w:tc>
                <w:tcPr>
                  <w:tcW w:w="3449"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both"/>
                    <w:textAlignment w:val="auto"/>
                    <w:rPr>
                      <w:color w:val="auto"/>
                      <w:sz w:val="18"/>
                      <w:szCs w:val="18"/>
                    </w:rPr>
                  </w:pPr>
                  <w:r>
                    <w:rPr>
                      <w:rFonts w:hint="eastAsia"/>
                      <w:color w:val="auto"/>
                      <w:sz w:val="18"/>
                      <w:szCs w:val="18"/>
                    </w:rPr>
                    <w:t>禁止引进有持久性有机污染、排放恶臭气体、有放射性污染及排放属“POPS”清单内有关物质的项目，杜绝高污染、高风险和高投入、低产出的项目入区。</w:t>
                  </w:r>
                </w:p>
              </w:tc>
              <w:tc>
                <w:tcPr>
                  <w:tcW w:w="2141"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both"/>
                    <w:textAlignment w:val="auto"/>
                    <w:rPr>
                      <w:rFonts w:hint="eastAsia"/>
                      <w:color w:val="auto"/>
                      <w:sz w:val="18"/>
                      <w:szCs w:val="18"/>
                      <w:lang w:eastAsia="zh-CN"/>
                    </w:rPr>
                  </w:pPr>
                  <w:r>
                    <w:rPr>
                      <w:rFonts w:hint="eastAsia"/>
                      <w:color w:val="auto"/>
                      <w:sz w:val="18"/>
                      <w:szCs w:val="18"/>
                      <w:lang w:eastAsia="zh-CN"/>
                    </w:rPr>
                    <w:t>本项目为其他针织或钩针编织服装制造，不属于</w:t>
                  </w:r>
                  <w:r>
                    <w:rPr>
                      <w:rFonts w:hint="eastAsia"/>
                      <w:color w:val="auto"/>
                      <w:sz w:val="18"/>
                      <w:szCs w:val="18"/>
                    </w:rPr>
                    <w:t>持久性有机污染、排放恶臭气体、有放射性污染及排放属“POPS”清单内有关物质的项目</w:t>
                  </w:r>
                </w:p>
              </w:tc>
              <w:tc>
                <w:tcPr>
                  <w:tcW w:w="764"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olor w:val="auto"/>
                      <w:sz w:val="18"/>
                      <w:szCs w:val="18"/>
                      <w:lang w:eastAsia="zh-CN"/>
                    </w:rPr>
                  </w:pPr>
                  <w:r>
                    <w:rPr>
                      <w:rFonts w:hint="eastAsia"/>
                      <w:color w:val="auto"/>
                      <w:sz w:val="18"/>
                      <w:szCs w:val="18"/>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87"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color w:val="auto"/>
                      <w:sz w:val="18"/>
                      <w:szCs w:val="18"/>
                    </w:rPr>
                  </w:pPr>
                  <w:r>
                    <w:rPr>
                      <w:rFonts w:hint="eastAsia"/>
                      <w:color w:val="auto"/>
                      <w:sz w:val="18"/>
                      <w:szCs w:val="18"/>
                    </w:rPr>
                    <w:t>污染物排放管控</w:t>
                  </w:r>
                </w:p>
              </w:tc>
              <w:tc>
                <w:tcPr>
                  <w:tcW w:w="3449"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olor w:val="auto"/>
                      <w:sz w:val="18"/>
                      <w:szCs w:val="18"/>
                    </w:rPr>
                  </w:pPr>
                  <w:r>
                    <w:rPr>
                      <w:rFonts w:hint="eastAsia"/>
                      <w:color w:val="auto"/>
                      <w:sz w:val="18"/>
                      <w:szCs w:val="18"/>
                    </w:rPr>
                    <w:t>以规划环评（跟踪评价）及批复文件为准。</w:t>
                  </w:r>
                </w:p>
              </w:tc>
              <w:tc>
                <w:tcPr>
                  <w:tcW w:w="2141"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both"/>
                    <w:textAlignment w:val="auto"/>
                    <w:rPr>
                      <w:rFonts w:hint="eastAsia"/>
                      <w:color w:val="auto"/>
                      <w:sz w:val="18"/>
                      <w:szCs w:val="18"/>
                      <w:lang w:eastAsia="zh-CN"/>
                    </w:rPr>
                  </w:pPr>
                  <w:r>
                    <w:rPr>
                      <w:rFonts w:hint="eastAsia"/>
                      <w:color w:val="auto"/>
                      <w:sz w:val="18"/>
                      <w:szCs w:val="18"/>
                      <w:vertAlign w:val="baseline"/>
                    </w:rPr>
                    <w:t>本项目为登记管理类，根据南通市生态环境部门规定，暂无需申请排污总量。</w:t>
                  </w:r>
                </w:p>
              </w:tc>
              <w:tc>
                <w:tcPr>
                  <w:tcW w:w="764"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olor w:val="auto"/>
                      <w:sz w:val="18"/>
                      <w:szCs w:val="18"/>
                      <w:lang w:eastAsia="zh-CN"/>
                    </w:rPr>
                  </w:pPr>
                  <w:r>
                    <w:rPr>
                      <w:rFonts w:hint="eastAsia"/>
                      <w:color w:val="auto"/>
                      <w:sz w:val="18"/>
                      <w:szCs w:val="18"/>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887"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color w:val="auto"/>
                      <w:sz w:val="18"/>
                      <w:szCs w:val="18"/>
                    </w:rPr>
                  </w:pPr>
                  <w:r>
                    <w:rPr>
                      <w:rFonts w:hint="eastAsia" w:ascii="宋体" w:hAnsi="宋体" w:eastAsia="宋体" w:cs="宋体"/>
                      <w:color w:val="auto"/>
                      <w:sz w:val="18"/>
                      <w:szCs w:val="18"/>
                    </w:rPr>
                    <w:t>环境风险防控</w:t>
                  </w:r>
                </w:p>
              </w:tc>
              <w:tc>
                <w:tcPr>
                  <w:tcW w:w="3449"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both"/>
                    <w:textAlignment w:val="auto"/>
                    <w:rPr>
                      <w:rFonts w:hint="eastAsia"/>
                      <w:color w:val="auto"/>
                      <w:sz w:val="18"/>
                      <w:szCs w:val="18"/>
                    </w:rPr>
                  </w:pPr>
                  <w:r>
                    <w:rPr>
                      <w:rFonts w:hint="eastAsia"/>
                      <w:color w:val="auto"/>
                      <w:sz w:val="18"/>
                      <w:szCs w:val="18"/>
                    </w:rPr>
                    <w:t>1.建立健全区域环境风险防范体系和生态安全保障体系，建立应急响应联动机制，完善应急预案，提升开发区环境风险防控和应急响应能力，保障区域环境安全。</w:t>
                  </w:r>
                </w:p>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both"/>
                    <w:textAlignment w:val="auto"/>
                    <w:rPr>
                      <w:rFonts w:hint="eastAsia"/>
                      <w:color w:val="auto"/>
                      <w:sz w:val="18"/>
                      <w:szCs w:val="18"/>
                    </w:rPr>
                  </w:pPr>
                  <w:r>
                    <w:rPr>
                      <w:rFonts w:hint="eastAsia"/>
                      <w:color w:val="auto"/>
                      <w:sz w:val="18"/>
                      <w:szCs w:val="18"/>
                    </w:rPr>
                    <w:t>2.建立完善包括环境空气、地表水、地下水、土壤等环境要素的监控体系，做好长期跟踪监测与管理。</w:t>
                  </w:r>
                </w:p>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both"/>
                    <w:textAlignment w:val="auto"/>
                    <w:rPr>
                      <w:rFonts w:hint="eastAsia"/>
                      <w:color w:val="auto"/>
                      <w:sz w:val="18"/>
                      <w:szCs w:val="18"/>
                    </w:rPr>
                  </w:pPr>
                  <w:r>
                    <w:rPr>
                      <w:rFonts w:hint="eastAsia"/>
                      <w:color w:val="auto"/>
                      <w:sz w:val="18"/>
                      <w:szCs w:val="18"/>
                    </w:rPr>
                    <w:t>3.按照相关管理要求申报、处置废弃危险化学品。强化对危险废物的收集、贮存和处置的监督管理，实现危险废物监管无盲区、无死角。</w:t>
                  </w:r>
                </w:p>
              </w:tc>
              <w:tc>
                <w:tcPr>
                  <w:tcW w:w="2141"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both"/>
                    <w:textAlignment w:val="auto"/>
                    <w:rPr>
                      <w:rFonts w:hint="eastAsia"/>
                      <w:color w:val="auto"/>
                      <w:sz w:val="18"/>
                      <w:szCs w:val="18"/>
                      <w:vertAlign w:val="baseline"/>
                      <w:lang w:eastAsia="zh-CN"/>
                    </w:rPr>
                  </w:pPr>
                  <w:r>
                    <w:rPr>
                      <w:rFonts w:hint="eastAsia"/>
                      <w:color w:val="auto"/>
                      <w:sz w:val="18"/>
                      <w:szCs w:val="18"/>
                      <w:vertAlign w:val="baseline"/>
                      <w:lang w:eastAsia="zh-CN"/>
                    </w:rPr>
                    <w:t>本项目为C1829其他针织或钩针编织服装制造，除生产设备使用润滑油外，不涉及其他环境风险物质，环境风险极小。项目投产前将编制企业突发环境应急预案，执行预案中的环境风险防控措施。</w:t>
                  </w:r>
                </w:p>
              </w:tc>
              <w:tc>
                <w:tcPr>
                  <w:tcW w:w="764"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olor w:val="auto"/>
                      <w:sz w:val="18"/>
                      <w:szCs w:val="18"/>
                      <w:lang w:eastAsia="zh-CN"/>
                    </w:rPr>
                  </w:pPr>
                  <w:r>
                    <w:rPr>
                      <w:rFonts w:hint="eastAsia"/>
                      <w:color w:val="auto"/>
                      <w:sz w:val="18"/>
                      <w:szCs w:val="18"/>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资源</w:t>
                  </w:r>
                  <w:r>
                    <w:rPr>
                      <w:rFonts w:hint="eastAsia"/>
                      <w:color w:val="auto"/>
                      <w:sz w:val="18"/>
                      <w:szCs w:val="18"/>
                      <w:lang w:eastAsia="zh-CN"/>
                    </w:rPr>
                    <w:t>开发</w:t>
                  </w:r>
                  <w:r>
                    <w:rPr>
                      <w:rFonts w:hint="eastAsia"/>
                      <w:color w:val="auto"/>
                      <w:sz w:val="18"/>
                      <w:szCs w:val="18"/>
                    </w:rPr>
                    <w:t>效率要求</w:t>
                  </w:r>
                </w:p>
              </w:tc>
              <w:tc>
                <w:tcPr>
                  <w:tcW w:w="3449"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both"/>
                    <w:textAlignment w:val="auto"/>
                    <w:rPr>
                      <w:rFonts w:hint="eastAsia"/>
                      <w:color w:val="auto"/>
                      <w:sz w:val="18"/>
                      <w:szCs w:val="18"/>
                    </w:rPr>
                  </w:pPr>
                  <w:r>
                    <w:rPr>
                      <w:rFonts w:hint="eastAsia"/>
                      <w:color w:val="auto"/>
                      <w:sz w:val="18"/>
                      <w:szCs w:val="18"/>
                    </w:rPr>
                    <w:t>禁止销售使用燃料为“Ⅱ类”（较严），具体包括：1.除单台出力大于等于20蒸吨/小时锅炉以外燃用的煤炭及其制品。2.石油焦、油页岩、原油、重油、渣油、煤焦油</w:t>
                  </w:r>
                </w:p>
              </w:tc>
              <w:tc>
                <w:tcPr>
                  <w:tcW w:w="2141"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olor w:val="auto"/>
                      <w:sz w:val="18"/>
                      <w:szCs w:val="18"/>
                      <w:lang w:eastAsia="zh-CN"/>
                    </w:rPr>
                  </w:pPr>
                  <w:r>
                    <w:rPr>
                      <w:rFonts w:hint="eastAsia"/>
                      <w:color w:val="auto"/>
                      <w:sz w:val="18"/>
                      <w:szCs w:val="18"/>
                      <w:lang w:eastAsia="zh-CN"/>
                    </w:rPr>
                    <w:t>本项目不涉及高污染燃料</w:t>
                  </w:r>
                </w:p>
              </w:tc>
              <w:tc>
                <w:tcPr>
                  <w:tcW w:w="764" w:type="dxa"/>
                  <w:tcBorders>
                    <w:tl2br w:val="nil"/>
                    <w:tr2bl w:val="nil"/>
                  </w:tcBorders>
                  <w:vAlign w:val="center"/>
                </w:tcPr>
                <w:p>
                  <w:pPr>
                    <w:keepNext w:val="0"/>
                    <w:keepLines w:val="0"/>
                    <w:pageBreakBefore w:val="0"/>
                    <w:widowControl w:val="0"/>
                    <w:tabs>
                      <w:tab w:val="left" w:pos="6379"/>
                    </w:tabs>
                    <w:kinsoku/>
                    <w:wordWrap/>
                    <w:overflowPunct w:val="0"/>
                    <w:topLinePunct w:val="0"/>
                    <w:autoSpaceDE/>
                    <w:autoSpaceDN/>
                    <w:bidi w:val="0"/>
                    <w:adjustRightInd w:val="0"/>
                    <w:snapToGrid w:val="0"/>
                    <w:spacing w:line="240" w:lineRule="auto"/>
                    <w:jc w:val="center"/>
                    <w:textAlignment w:val="auto"/>
                    <w:rPr>
                      <w:rFonts w:hint="eastAsia"/>
                      <w:color w:val="auto"/>
                      <w:sz w:val="18"/>
                      <w:szCs w:val="18"/>
                      <w:lang w:eastAsia="zh-CN"/>
                    </w:rPr>
                  </w:pPr>
                  <w:r>
                    <w:rPr>
                      <w:rFonts w:hint="eastAsia"/>
                      <w:color w:val="auto"/>
                      <w:sz w:val="18"/>
                      <w:szCs w:val="18"/>
                      <w:lang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因此，本项目的建设符合</w:t>
            </w:r>
            <w:r>
              <w:rPr>
                <w:rFonts w:hint="eastAsia"/>
                <w:color w:val="auto"/>
                <w:sz w:val="21"/>
                <w:szCs w:val="21"/>
                <w:lang w:val="en-US" w:eastAsia="zh-CN"/>
              </w:rPr>
              <w:t>《市政府办公室关于印发启东市“三线一单”生态环境分区管控实施方案的通知》（启政办规〔2022〕2号）</w:t>
            </w:r>
            <w:r>
              <w:rPr>
                <w:rFonts w:hint="eastAsia"/>
                <w:color w:val="auto"/>
                <w:lang w:eastAsia="zh-CN"/>
              </w:rPr>
              <w:t>中相关要求。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szCs w:val="21"/>
              </w:rPr>
            </w:pPr>
            <w:r>
              <w:rPr>
                <w:rFonts w:hint="eastAsia"/>
                <w:color w:val="auto"/>
                <w:szCs w:val="21"/>
              </w:rPr>
              <w:t>2</w:t>
            </w:r>
            <w:r>
              <w:rPr>
                <w:color w:val="auto"/>
                <w:szCs w:val="21"/>
              </w:rPr>
              <w:t>）与环境质量底线相符性</w:t>
            </w:r>
          </w:p>
          <w:p>
            <w:pPr>
              <w:spacing w:line="500" w:lineRule="exact"/>
              <w:ind w:firstLine="420" w:firstLineChars="200"/>
              <w:rPr>
                <w:rFonts w:hint="eastAsia"/>
                <w:color w:val="auto"/>
                <w:szCs w:val="21"/>
              </w:rPr>
            </w:pPr>
            <w:r>
              <w:rPr>
                <w:rFonts w:hint="eastAsia"/>
                <w:color w:val="auto"/>
                <w:szCs w:val="21"/>
              </w:rPr>
              <w:t>根据《南通市生态环境状况公报（2022年）》，建设项目所在地基本污染物 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10</w:t>
            </w:r>
            <w:r>
              <w:rPr>
                <w:rFonts w:hint="eastAsia"/>
                <w:color w:val="auto"/>
                <w:szCs w:val="21"/>
              </w:rPr>
              <w:t>、PM</w:t>
            </w:r>
            <w:r>
              <w:rPr>
                <w:rFonts w:hint="eastAsia"/>
                <w:color w:val="auto"/>
                <w:szCs w:val="21"/>
                <w:vertAlign w:val="subscript"/>
              </w:rPr>
              <w:t>2.5</w:t>
            </w:r>
            <w:r>
              <w:rPr>
                <w:rFonts w:hint="eastAsia"/>
                <w:color w:val="auto"/>
                <w:szCs w:val="21"/>
              </w:rPr>
              <w:t>、CO 达《环境空气质量标准》（GB3095-2012）二级标准，基本污染物臭氧超标；地表水满足《地表水环境质量标准》（GB3838-2002）Ⅲ类标准要求；区域环境功能区达到《声环境质量标准》（GB3096-2008）相对标准。建设项目废水、废气、固废均得到合理处置，噪声对周边影响较小，不会突破建设项目所在地的环境质量底线。因此建设项目的建设符合环境质量底线标准。</w:t>
            </w:r>
          </w:p>
          <w:p>
            <w:pPr>
              <w:adjustRightInd w:val="0"/>
              <w:snapToGrid w:val="0"/>
              <w:spacing w:line="500" w:lineRule="exact"/>
              <w:ind w:firstLine="420" w:firstLineChars="200"/>
              <w:rPr>
                <w:rFonts w:hint="eastAsia"/>
                <w:bCs/>
                <w:color w:val="auto"/>
                <w:szCs w:val="21"/>
                <w:lang w:eastAsia="zh-CN"/>
              </w:rPr>
            </w:pPr>
            <w:r>
              <w:rPr>
                <w:color w:val="auto"/>
                <w:szCs w:val="21"/>
              </w:rPr>
              <w:t>本项目用水水源来自市政管网，能满足本项目的供水需求。本项目用电由市政供电系统供电，能满足本项目的供电需求。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cs="Times New Roman"/>
                <w:color w:val="auto"/>
                <w:kern w:val="0"/>
                <w:szCs w:val="21"/>
                <w:lang w:eastAsia="zh-CN"/>
              </w:rPr>
            </w:pPr>
            <w:r>
              <w:rPr>
                <w:rFonts w:hint="eastAsia" w:cs="Times New Roman"/>
                <w:color w:val="auto"/>
                <w:kern w:val="0"/>
                <w:szCs w:val="21"/>
                <w:lang w:eastAsia="zh-CN"/>
              </w:rPr>
              <w:t>对照《启东市环境管控单元生态环境准入清单》，本项目位于启东经济开发区人民西路</w:t>
            </w:r>
            <w:r>
              <w:rPr>
                <w:rFonts w:hint="eastAsia" w:cs="Times New Roman"/>
                <w:color w:val="auto"/>
                <w:kern w:val="0"/>
                <w:szCs w:val="21"/>
                <w:lang w:val="en-US" w:eastAsia="zh-CN"/>
              </w:rPr>
              <w:t>3333号</w:t>
            </w:r>
            <w:r>
              <w:rPr>
                <w:rFonts w:hint="eastAsia" w:cs="Times New Roman"/>
                <w:color w:val="auto"/>
                <w:kern w:val="0"/>
                <w:szCs w:val="21"/>
                <w:lang w:eastAsia="zh-CN"/>
              </w:rPr>
              <w:t>，在启东经济开发区范围内，属于重点管控单元。</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1"/>
                <w:szCs w:val="21"/>
              </w:rPr>
            </w:pPr>
            <w:r>
              <w:rPr>
                <w:rFonts w:hint="eastAsia" w:ascii="宋体" w:hAnsi="宋体" w:eastAsia="宋体" w:cs="宋体"/>
                <w:color w:val="000000"/>
                <w:kern w:val="0"/>
                <w:sz w:val="21"/>
                <w:szCs w:val="21"/>
                <w:lang w:val="en-US" w:eastAsia="zh-CN" w:bidi="ar"/>
              </w:rPr>
              <w:t>本项目与《启东经济开发区禁止进区项目负面清单》符合性分析见表</w:t>
            </w:r>
            <w:r>
              <w:rPr>
                <w:rFonts w:hint="default" w:ascii="Times New Roman" w:hAnsi="Times New Roman" w:eastAsia="宋体" w:cs="Times New Roman"/>
                <w:color w:val="000000"/>
                <w:kern w:val="0"/>
                <w:sz w:val="21"/>
                <w:szCs w:val="21"/>
                <w:lang w:val="en-US" w:eastAsia="zh-CN" w:bidi="ar"/>
              </w:rPr>
              <w:t>1-</w:t>
            </w:r>
            <w:r>
              <w:rPr>
                <w:rFonts w:hint="eastAsia"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；与《启东市生态环境总体准入管控要求》管控要求符合性分析见表 </w:t>
            </w:r>
            <w:r>
              <w:rPr>
                <w:rFonts w:hint="default" w:ascii="Times New Roman" w:hAnsi="Times New Roman" w:eastAsia="宋体" w:cs="Times New Roman"/>
                <w:color w:val="000000"/>
                <w:kern w:val="0"/>
                <w:sz w:val="21"/>
                <w:szCs w:val="21"/>
                <w:lang w:val="en-US" w:eastAsia="zh-CN" w:bidi="ar"/>
              </w:rPr>
              <w:t>1-</w:t>
            </w:r>
            <w:r>
              <w:rPr>
                <w:rFonts w:hint="eastAsia" w:cs="Times New Roman"/>
                <w:color w:val="000000"/>
                <w:kern w:val="0"/>
                <w:sz w:val="21"/>
                <w:szCs w:val="21"/>
                <w:lang w:val="en-US" w:eastAsia="zh-CN" w:bidi="ar"/>
              </w:rPr>
              <w:t>7</w:t>
            </w:r>
            <w:r>
              <w:rPr>
                <w:rFonts w:hint="eastAsia" w:ascii="Times New Roman" w:hAnsi="Times New Roman" w:eastAsia="宋体" w:cs="Times New Roman"/>
                <w:color w:val="000000"/>
                <w:kern w:val="0"/>
                <w:sz w:val="21"/>
                <w:szCs w:val="21"/>
                <w:lang w:val="en-US" w:eastAsia="zh-CN" w:bidi="ar"/>
              </w:rPr>
              <w:t>。</w:t>
            </w:r>
          </w:p>
          <w:p>
            <w:pPr>
              <w:pStyle w:val="2"/>
              <w:keepNext w:val="0"/>
              <w:keepLines w:val="0"/>
              <w:pageBreakBefore w:val="0"/>
              <w:kinsoku/>
              <w:wordWrap/>
              <w:overflowPunct/>
              <w:topLinePunct w:val="0"/>
              <w:autoSpaceDE/>
              <w:autoSpaceDN/>
              <w:bidi w:val="0"/>
              <w:adjustRightInd/>
              <w:snapToGrid/>
              <w:spacing w:after="0" w:line="500" w:lineRule="exact"/>
              <w:jc w:val="center"/>
              <w:textAlignment w:val="auto"/>
              <w:rPr>
                <w:rFonts w:hint="eastAsia"/>
                <w:sz w:val="21"/>
                <w:szCs w:val="21"/>
                <w:lang w:eastAsia="zh-CN"/>
              </w:rPr>
            </w:pPr>
            <w:r>
              <w:rPr>
                <w:rFonts w:hint="default" w:ascii="Times New Roman" w:hAnsi="Times New Roman" w:cs="Times New Roman"/>
                <w:b/>
                <w:bCs/>
                <w:sz w:val="21"/>
                <w:szCs w:val="21"/>
                <w:lang w:eastAsia="zh-CN"/>
              </w:rPr>
              <w:t>表 1-</w:t>
            </w: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lang w:eastAsia="zh-CN"/>
              </w:rPr>
              <w:t xml:space="preserve"> 本项目与启东经济开发区禁止进区项目负面清单</w:t>
            </w:r>
            <w:r>
              <w:rPr>
                <w:rFonts w:hint="eastAsia" w:ascii="Times New Roman" w:hAnsi="Times New Roman" w:cs="Times New Roman"/>
                <w:b/>
                <w:bCs/>
                <w:sz w:val="21"/>
                <w:szCs w:val="21"/>
                <w:lang w:eastAsia="zh-CN"/>
              </w:rPr>
              <w:t>相符</w:t>
            </w:r>
            <w:r>
              <w:rPr>
                <w:rFonts w:hint="default" w:ascii="Times New Roman" w:hAnsi="Times New Roman" w:cs="Times New Roman"/>
                <w:b/>
                <w:bCs/>
                <w:sz w:val="21"/>
                <w:szCs w:val="21"/>
                <w:lang w:eastAsia="zh-CN"/>
              </w:rPr>
              <w:t>性分析</w:t>
            </w:r>
          </w:p>
          <w:tbl>
            <w:tblPr>
              <w:tblStyle w:val="12"/>
              <w:tblW w:w="715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3"/>
              <w:gridCol w:w="5010"/>
              <w:gridCol w:w="12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3" w:type="dxa"/>
                  <w:tcBorders>
                    <w:tl2br w:val="nil"/>
                    <w:tr2bl w:val="nil"/>
                  </w:tcBorders>
                  <w:vAlign w:val="center"/>
                </w:tcPr>
                <w:p>
                  <w:pPr>
                    <w:bidi w:val="0"/>
                    <w:jc w:val="center"/>
                    <w:rPr>
                      <w:rFonts w:hint="eastAsia"/>
                      <w:b w:val="0"/>
                      <w:bCs w:val="0"/>
                      <w:sz w:val="18"/>
                      <w:szCs w:val="18"/>
                      <w:lang w:eastAsia="zh-CN"/>
                    </w:rPr>
                  </w:pPr>
                  <w:r>
                    <w:rPr>
                      <w:rFonts w:hint="eastAsia"/>
                      <w:b w:val="0"/>
                      <w:bCs w:val="0"/>
                      <w:sz w:val="18"/>
                      <w:szCs w:val="18"/>
                      <w:lang w:eastAsia="zh-CN"/>
                    </w:rPr>
                    <w:t>类别</w:t>
                  </w:r>
                </w:p>
              </w:tc>
              <w:tc>
                <w:tcPr>
                  <w:tcW w:w="5010" w:type="dxa"/>
                  <w:tcBorders>
                    <w:tl2br w:val="nil"/>
                    <w:tr2bl w:val="nil"/>
                  </w:tcBorders>
                  <w:vAlign w:val="center"/>
                </w:tcPr>
                <w:p>
                  <w:pPr>
                    <w:bidi w:val="0"/>
                    <w:jc w:val="center"/>
                    <w:rPr>
                      <w:rFonts w:hint="eastAsia"/>
                      <w:b w:val="0"/>
                      <w:bCs w:val="0"/>
                      <w:sz w:val="18"/>
                      <w:szCs w:val="18"/>
                      <w:lang w:eastAsia="zh-CN"/>
                    </w:rPr>
                  </w:pPr>
                  <w:r>
                    <w:rPr>
                      <w:rFonts w:hint="eastAsia"/>
                      <w:b w:val="0"/>
                      <w:bCs w:val="0"/>
                      <w:sz w:val="18"/>
                      <w:szCs w:val="18"/>
                      <w:lang w:eastAsia="zh-CN"/>
                    </w:rPr>
                    <w:t>准入内容</w:t>
                  </w:r>
                </w:p>
              </w:tc>
              <w:tc>
                <w:tcPr>
                  <w:tcW w:w="1282" w:type="dxa"/>
                  <w:tcBorders>
                    <w:tl2br w:val="nil"/>
                    <w:tr2bl w:val="nil"/>
                  </w:tcBorders>
                  <w:vAlign w:val="center"/>
                </w:tcPr>
                <w:p>
                  <w:pPr>
                    <w:keepNext w:val="0"/>
                    <w:keepLines w:val="0"/>
                    <w:widowControl/>
                    <w:suppressLineNumbers w:val="0"/>
                    <w:jc w:val="center"/>
                    <w:rPr>
                      <w:rFonts w:hint="eastAsia"/>
                      <w:b w:val="0"/>
                      <w:bCs w:val="0"/>
                      <w:sz w:val="18"/>
                      <w:szCs w:val="18"/>
                      <w:lang w:eastAsia="zh-CN"/>
                    </w:rPr>
                  </w:pPr>
                  <w:r>
                    <w:rPr>
                      <w:rFonts w:hint="eastAsia" w:ascii="宋体" w:hAnsi="宋体" w:eastAsia="宋体" w:cs="宋体"/>
                      <w:b w:val="0"/>
                      <w:bCs w:val="0"/>
                      <w:color w:val="000000"/>
                      <w:kern w:val="0"/>
                      <w:sz w:val="18"/>
                      <w:szCs w:val="18"/>
                      <w:lang w:val="en-US" w:eastAsia="zh-CN" w:bidi="ar"/>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3" w:type="dxa"/>
                  <w:tcBorders>
                    <w:tl2br w:val="nil"/>
                    <w:tr2bl w:val="nil"/>
                  </w:tcBorders>
                  <w:vAlign w:val="center"/>
                </w:tcPr>
                <w:p>
                  <w:pPr>
                    <w:keepNext w:val="0"/>
                    <w:keepLines w:val="0"/>
                    <w:widowControl/>
                    <w:suppressLineNumbers w:val="0"/>
                    <w:jc w:val="center"/>
                    <w:rPr>
                      <w:rFonts w:hint="eastAsia"/>
                      <w:sz w:val="18"/>
                      <w:szCs w:val="18"/>
                      <w:lang w:eastAsia="zh-CN"/>
                    </w:rPr>
                  </w:pPr>
                  <w:r>
                    <w:rPr>
                      <w:rFonts w:hint="eastAsia" w:ascii="宋体" w:hAnsi="宋体" w:cs="宋体"/>
                      <w:color w:val="000000"/>
                      <w:kern w:val="0"/>
                      <w:sz w:val="18"/>
                      <w:szCs w:val="18"/>
                      <w:lang w:val="en-US" w:eastAsia="zh-CN" w:bidi="ar"/>
                    </w:rPr>
                    <w:t>机电</w:t>
                  </w:r>
                </w:p>
              </w:tc>
              <w:tc>
                <w:tcPr>
                  <w:tcW w:w="5010" w:type="dxa"/>
                  <w:tcBorders>
                    <w:tl2br w:val="nil"/>
                    <w:tr2bl w:val="nil"/>
                  </w:tcBorders>
                </w:tcPr>
                <w:p>
                  <w:pPr>
                    <w:bidi w:val="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纯电镀类机械、电子信息项目、普通电子元件器件项目、普通印刷线路板等</w:t>
                  </w:r>
                </w:p>
              </w:tc>
              <w:tc>
                <w:tcPr>
                  <w:tcW w:w="1282" w:type="dxa"/>
                  <w:vMerge w:val="restart"/>
                  <w:tcBorders>
                    <w:tl2br w:val="nil"/>
                    <w:tr2bl w:val="nil"/>
                  </w:tcBorders>
                </w:tcPr>
                <w:p>
                  <w:pPr>
                    <w:bidi w:val="0"/>
                    <w:rPr>
                      <w:rFonts w:hint="eastAsia"/>
                      <w:sz w:val="18"/>
                      <w:szCs w:val="18"/>
                      <w:lang w:eastAsia="zh-CN"/>
                    </w:rPr>
                  </w:pPr>
                  <w:r>
                    <w:rPr>
                      <w:rFonts w:hint="eastAsia"/>
                      <w:sz w:val="18"/>
                      <w:szCs w:val="18"/>
                      <w:lang w:eastAsia="zh-CN"/>
                    </w:rPr>
                    <w:t>本项目行业类别为C1829其他针织或钩针编织服装制造，属于纺织服装行业，本项目污染较小；生产中不使用淘汰类设备、技术，物耗、能耗以及水耗较低；不属于启东经济开发区禁止进区项目负面清单内容项目。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3" w:type="dxa"/>
                  <w:tcBorders>
                    <w:tl2br w:val="nil"/>
                    <w:tr2bl w:val="nil"/>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新能源</w:t>
                  </w:r>
                </w:p>
              </w:tc>
              <w:tc>
                <w:tcPr>
                  <w:tcW w:w="5010" w:type="dxa"/>
                  <w:tcBorders>
                    <w:tl2br w:val="nil"/>
                    <w:tr2bl w:val="nil"/>
                  </w:tcBorders>
                </w:tcPr>
                <w:p>
                  <w:pPr>
                    <w:keepNext w:val="0"/>
                    <w:keepLines w:val="0"/>
                    <w:widowControl/>
                    <w:suppressLineNumbers w:val="0"/>
                    <w:jc w:val="left"/>
                    <w:rPr>
                      <w:rFonts w:hint="eastAsia"/>
                      <w:sz w:val="18"/>
                      <w:szCs w:val="18"/>
                      <w:lang w:eastAsia="zh-CN"/>
                    </w:rPr>
                  </w:pPr>
                  <w:r>
                    <w:rPr>
                      <w:rFonts w:hint="eastAsia"/>
                      <w:sz w:val="18"/>
                      <w:szCs w:val="18"/>
                      <w:lang w:eastAsia="zh-CN"/>
                    </w:rPr>
                    <w:t>染严重的太阳能光伏产业上游企业（单晶、多晶硅棒生产），年生产能力 20 万千伏安时以下及资源利用、能源消耗、环境保护等指标达不到行业准入要求的铅蓄电池项目、汞电池（氧化汞原电池及电池组、锌汞电池）、开口式普通铅酸电池、含汞高于</w:t>
                  </w:r>
                  <w:r>
                    <w:rPr>
                      <w:rFonts w:hint="default"/>
                      <w:sz w:val="18"/>
                      <w:szCs w:val="18"/>
                      <w:lang w:val="en-US" w:eastAsia="zh-CN"/>
                    </w:rPr>
                    <w:t>0.0001</w:t>
                  </w:r>
                  <w:r>
                    <w:rPr>
                      <w:rFonts w:hint="eastAsia"/>
                      <w:sz w:val="18"/>
                      <w:szCs w:val="18"/>
                      <w:lang w:val="en-US" w:eastAsia="zh-CN"/>
                    </w:rPr>
                    <w:t>％的圆柱型碱锰电池、含汞高于</w:t>
                  </w:r>
                  <w:r>
                    <w:rPr>
                      <w:rFonts w:hint="default"/>
                      <w:sz w:val="18"/>
                      <w:szCs w:val="18"/>
                      <w:lang w:val="en-US" w:eastAsia="zh-CN"/>
                    </w:rPr>
                    <w:t>0.0005</w:t>
                  </w:r>
                  <w:r>
                    <w:rPr>
                      <w:rFonts w:hint="eastAsia"/>
                      <w:sz w:val="18"/>
                      <w:szCs w:val="18"/>
                      <w:lang w:val="en-US" w:eastAsia="zh-CN"/>
                    </w:rPr>
                    <w:t>％的扣式碱锰电池（</w:t>
                  </w:r>
                  <w:r>
                    <w:rPr>
                      <w:rFonts w:hint="default"/>
                      <w:sz w:val="18"/>
                      <w:szCs w:val="18"/>
                      <w:lang w:val="en-US" w:eastAsia="zh-CN"/>
                    </w:rPr>
                    <w:t>2015</w:t>
                  </w:r>
                  <w:r>
                    <w:rPr>
                      <w:rFonts w:hint="eastAsia"/>
                      <w:sz w:val="18"/>
                      <w:szCs w:val="18"/>
                      <w:lang w:val="en-US" w:eastAsia="zh-CN"/>
                    </w:rPr>
                    <w:t>年）、含镉高于</w:t>
                  </w:r>
                  <w:r>
                    <w:rPr>
                      <w:rFonts w:hint="default"/>
                      <w:sz w:val="18"/>
                      <w:szCs w:val="18"/>
                      <w:lang w:val="en-US" w:eastAsia="zh-CN"/>
                    </w:rPr>
                    <w:t>0.002</w:t>
                  </w:r>
                  <w:r>
                    <w:rPr>
                      <w:rFonts w:hint="eastAsia"/>
                      <w:sz w:val="18"/>
                      <w:szCs w:val="18"/>
                      <w:lang w:val="en-US" w:eastAsia="zh-CN"/>
                    </w:rPr>
                    <w:t>％的铅蓄电池、含砷高于</w:t>
                  </w:r>
                  <w:r>
                    <w:rPr>
                      <w:rFonts w:hint="default"/>
                      <w:sz w:val="18"/>
                      <w:szCs w:val="18"/>
                      <w:lang w:val="en-US" w:eastAsia="zh-CN"/>
                    </w:rPr>
                    <w:t>0.1%</w:t>
                  </w:r>
                  <w:r>
                    <w:rPr>
                      <w:rFonts w:hint="eastAsia"/>
                      <w:sz w:val="18"/>
                      <w:szCs w:val="18"/>
                      <w:lang w:val="en-US" w:eastAsia="zh-CN"/>
                    </w:rPr>
                    <w:t>的铅蓄电池</w:t>
                  </w:r>
                </w:p>
              </w:tc>
              <w:tc>
                <w:tcPr>
                  <w:tcW w:w="1282" w:type="dxa"/>
                  <w:vMerge w:val="continue"/>
                  <w:tcBorders>
                    <w:tl2br w:val="nil"/>
                    <w:tr2bl w:val="nil"/>
                  </w:tcBorders>
                </w:tcPr>
                <w:p>
                  <w:pPr>
                    <w:keepNext w:val="0"/>
                    <w:keepLines w:val="0"/>
                    <w:widowControl/>
                    <w:suppressLineNumbers w:val="0"/>
                    <w:jc w:val="left"/>
                    <w:rPr>
                      <w:rFonts w:hint="eastAsia"/>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3" w:type="dxa"/>
                  <w:tcBorders>
                    <w:tl2br w:val="nil"/>
                    <w:tr2bl w:val="nil"/>
                  </w:tcBorders>
                  <w:vAlign w:val="center"/>
                </w:tcPr>
                <w:p>
                  <w:pPr>
                    <w:keepNext w:val="0"/>
                    <w:keepLines w:val="0"/>
                    <w:widowControl/>
                    <w:suppressLineNumbers w:val="0"/>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汽车</w:t>
                  </w:r>
                </w:p>
              </w:tc>
              <w:tc>
                <w:tcPr>
                  <w:tcW w:w="5010" w:type="dxa"/>
                  <w:tcBorders>
                    <w:tl2br w:val="nil"/>
                    <w:tr2bl w:val="nil"/>
                  </w:tcBorders>
                </w:tcPr>
                <w:p>
                  <w:pPr>
                    <w:bidi w:val="0"/>
                    <w:rPr>
                      <w:rFonts w:hint="eastAsia"/>
                      <w:sz w:val="18"/>
                      <w:szCs w:val="18"/>
                      <w:lang w:eastAsia="zh-CN"/>
                    </w:rPr>
                  </w:pPr>
                  <w:r>
                    <w:rPr>
                      <w:rFonts w:hint="eastAsia"/>
                      <w:sz w:val="18"/>
                      <w:szCs w:val="18"/>
                      <w:lang w:eastAsia="zh-CN"/>
                    </w:rPr>
                    <w:t>燃油汽车</w:t>
                  </w:r>
                </w:p>
              </w:tc>
              <w:tc>
                <w:tcPr>
                  <w:tcW w:w="1282" w:type="dxa"/>
                  <w:vMerge w:val="continue"/>
                  <w:tcBorders>
                    <w:tl2br w:val="nil"/>
                    <w:tr2bl w:val="nil"/>
                  </w:tcBorders>
                </w:tcPr>
                <w:p>
                  <w:pPr>
                    <w:keepNext w:val="0"/>
                    <w:keepLines w:val="0"/>
                    <w:widowControl/>
                    <w:suppressLineNumbers w:val="0"/>
                    <w:jc w:val="left"/>
                    <w:rPr>
                      <w:rFonts w:hint="eastAsia"/>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3" w:type="dxa"/>
                  <w:tcBorders>
                    <w:tl2br w:val="nil"/>
                    <w:tr2bl w:val="nil"/>
                  </w:tcBorders>
                  <w:vAlign w:val="center"/>
                </w:tcPr>
                <w:p>
                  <w:pPr>
                    <w:keepNext w:val="0"/>
                    <w:keepLines w:val="0"/>
                    <w:widowControl/>
                    <w:suppressLineNumbers w:val="0"/>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生物医药</w:t>
                  </w:r>
                </w:p>
              </w:tc>
              <w:tc>
                <w:tcPr>
                  <w:tcW w:w="5010" w:type="dxa"/>
                  <w:tcBorders>
                    <w:tl2br w:val="nil"/>
                    <w:tr2bl w:val="nil"/>
                  </w:tcBorders>
                </w:tcPr>
                <w:p>
                  <w:pPr>
                    <w:bidi w:val="0"/>
                    <w:rPr>
                      <w:rFonts w:hint="eastAsia"/>
                      <w:sz w:val="18"/>
                      <w:szCs w:val="18"/>
                      <w:lang w:eastAsia="zh-CN"/>
                    </w:rPr>
                  </w:pPr>
                  <w:r>
                    <w:rPr>
                      <w:rFonts w:hint="eastAsia"/>
                      <w:sz w:val="18"/>
                      <w:szCs w:val="18"/>
                      <w:lang w:eastAsia="zh-CN"/>
                    </w:rPr>
                    <w:t>1、手工胶囊填充工艺 2、软木塞烫腊包装药品工艺 3、不符合 GMP 要求的安瓿拉丝灌封机 4、塔式重蒸馏水器 5、无净化设施的热风干燥箱 6、劳动保护、三废治理不能达到国家标准的原料药生产装置 7、铁粉还原法对乙酰氨基酚（扑热息痛）、咖啡因装置 8、使用氯氟烃（CFCs）作为气雾剂、推进剂、抛射剂或分散剂的医药用品生产工艺（根据国家履行国际公约总体计划要求进行淘汰）9、铅锡软膏管、单层聚烯烃</w:t>
                  </w:r>
                </w:p>
                <w:p>
                  <w:pPr>
                    <w:bidi w:val="0"/>
                    <w:rPr>
                      <w:rFonts w:hint="eastAsia"/>
                      <w:sz w:val="18"/>
                      <w:szCs w:val="18"/>
                      <w:lang w:eastAsia="zh-CN"/>
                    </w:rPr>
                  </w:pPr>
                  <w:r>
                    <w:rPr>
                      <w:rFonts w:hint="eastAsia"/>
                      <w:sz w:val="18"/>
                      <w:szCs w:val="18"/>
                      <w:lang w:eastAsia="zh-CN"/>
                    </w:rPr>
                    <w:t>软膏管（肛肠、腔道给药除外）10、安瓿灌装注射用无菌粉末 11、药用天然胶塞 12、非易折安瓿 13、输液用聚氯乙烯（PVC）软袋（不包括腹膜透析液、冲洗液用）14、病毒疫苗类、使用传染性或潜在传染性材料的实验室及项目、医药中间体、原料</w:t>
                  </w:r>
                </w:p>
                <w:p>
                  <w:pPr>
                    <w:bidi w:val="0"/>
                    <w:rPr>
                      <w:rFonts w:hint="eastAsia"/>
                      <w:sz w:val="18"/>
                      <w:szCs w:val="18"/>
                      <w:lang w:eastAsia="zh-CN"/>
                    </w:rPr>
                  </w:pPr>
                  <w:r>
                    <w:rPr>
                      <w:rFonts w:hint="eastAsia"/>
                      <w:sz w:val="18"/>
                      <w:szCs w:val="18"/>
                      <w:lang w:eastAsia="zh-CN"/>
                    </w:rPr>
                    <w:t>药生产项目，不符合GMP 要求的药品项目</w:t>
                  </w:r>
                </w:p>
              </w:tc>
              <w:tc>
                <w:tcPr>
                  <w:tcW w:w="1282" w:type="dxa"/>
                  <w:vMerge w:val="continue"/>
                  <w:tcBorders>
                    <w:tl2br w:val="nil"/>
                    <w:tr2bl w:val="nil"/>
                  </w:tcBorders>
                </w:tcPr>
                <w:p>
                  <w:pPr>
                    <w:keepNext w:val="0"/>
                    <w:keepLines w:val="0"/>
                    <w:widowControl/>
                    <w:suppressLineNumbers w:val="0"/>
                    <w:jc w:val="left"/>
                    <w:rPr>
                      <w:rFonts w:hint="eastAsia"/>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3" w:type="dxa"/>
                  <w:tcBorders>
                    <w:tl2br w:val="nil"/>
                    <w:tr2bl w:val="nil"/>
                  </w:tcBorders>
                  <w:vAlign w:val="center"/>
                </w:tcPr>
                <w:p>
                  <w:pPr>
                    <w:keepNext w:val="0"/>
                    <w:keepLines w:val="0"/>
                    <w:widowControl/>
                    <w:suppressLineNumbers w:val="0"/>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文化产业</w:t>
                  </w:r>
                </w:p>
              </w:tc>
              <w:tc>
                <w:tcPr>
                  <w:tcW w:w="5010" w:type="dxa"/>
                  <w:tcBorders>
                    <w:tl2br w:val="nil"/>
                    <w:tr2bl w:val="nil"/>
                  </w:tcBorders>
                  <w:vAlign w:val="center"/>
                </w:tcPr>
                <w:p>
                  <w:pPr>
                    <w:bidi w:val="0"/>
                    <w:jc w:val="both"/>
                    <w:rPr>
                      <w:rFonts w:hint="eastAsia"/>
                      <w:sz w:val="18"/>
                      <w:szCs w:val="18"/>
                      <w:lang w:eastAsia="zh-CN"/>
                    </w:rPr>
                  </w:pPr>
                  <w:r>
                    <w:rPr>
                      <w:rFonts w:hint="eastAsia"/>
                      <w:sz w:val="18"/>
                      <w:szCs w:val="18"/>
                      <w:lang w:eastAsia="zh-CN"/>
                    </w:rPr>
                    <w:t>扑克生产的上游企业</w:t>
                  </w:r>
                </w:p>
              </w:tc>
              <w:tc>
                <w:tcPr>
                  <w:tcW w:w="1282" w:type="dxa"/>
                  <w:vMerge w:val="continue"/>
                  <w:tcBorders>
                    <w:tl2br w:val="nil"/>
                    <w:tr2bl w:val="nil"/>
                  </w:tcBorders>
                </w:tcPr>
                <w:p>
                  <w:pPr>
                    <w:keepNext w:val="0"/>
                    <w:keepLines w:val="0"/>
                    <w:widowControl/>
                    <w:suppressLineNumbers w:val="0"/>
                    <w:jc w:val="left"/>
                    <w:rPr>
                      <w:rFonts w:hint="eastAsia"/>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3" w:type="dxa"/>
                  <w:vMerge w:val="restart"/>
                  <w:tcBorders>
                    <w:tl2br w:val="nil"/>
                    <w:tr2bl w:val="nil"/>
                  </w:tcBorders>
                  <w:vAlign w:val="center"/>
                </w:tcPr>
                <w:p>
                  <w:pPr>
                    <w:keepNext w:val="0"/>
                    <w:keepLines w:val="0"/>
                    <w:widowControl/>
                    <w:suppressLineNumbers w:val="0"/>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其它</w:t>
                  </w:r>
                </w:p>
              </w:tc>
              <w:tc>
                <w:tcPr>
                  <w:tcW w:w="5010" w:type="dxa"/>
                  <w:tcBorders>
                    <w:tl2br w:val="nil"/>
                    <w:tr2bl w:val="nil"/>
                  </w:tcBorders>
                </w:tcPr>
                <w:p>
                  <w:pPr>
                    <w:bidi w:val="0"/>
                    <w:rPr>
                      <w:rFonts w:hint="eastAsia"/>
                      <w:sz w:val="18"/>
                      <w:szCs w:val="18"/>
                      <w:lang w:eastAsia="zh-CN"/>
                    </w:rPr>
                  </w:pPr>
                  <w:r>
                    <w:rPr>
                      <w:rFonts w:hint="eastAsia"/>
                      <w:sz w:val="18"/>
                      <w:szCs w:val="18"/>
                      <w:lang w:eastAsia="zh-CN"/>
                    </w:rPr>
                    <w:t>1、严重污染环境的产业</w:t>
                  </w:r>
                </w:p>
              </w:tc>
              <w:tc>
                <w:tcPr>
                  <w:tcW w:w="1282" w:type="dxa"/>
                  <w:vMerge w:val="continue"/>
                  <w:tcBorders>
                    <w:tl2br w:val="nil"/>
                    <w:tr2bl w:val="nil"/>
                  </w:tcBorders>
                </w:tcPr>
                <w:p>
                  <w:pPr>
                    <w:keepNext w:val="0"/>
                    <w:keepLines w:val="0"/>
                    <w:widowControl/>
                    <w:suppressLineNumbers w:val="0"/>
                    <w:jc w:val="left"/>
                    <w:rPr>
                      <w:rFonts w:hint="eastAsia"/>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3" w:type="dxa"/>
                  <w:vMerge w:val="continue"/>
                  <w:tcBorders>
                    <w:tl2br w:val="nil"/>
                    <w:tr2bl w:val="nil"/>
                  </w:tcBorders>
                  <w:vAlign w:val="center"/>
                </w:tcPr>
                <w:p>
                  <w:pPr>
                    <w:keepNext w:val="0"/>
                    <w:keepLines w:val="0"/>
                    <w:widowControl/>
                    <w:suppressLineNumbers w:val="0"/>
                    <w:jc w:val="center"/>
                    <w:rPr>
                      <w:rFonts w:hint="eastAsia" w:ascii="宋体" w:hAnsi="宋体" w:cs="宋体"/>
                      <w:color w:val="000000"/>
                      <w:kern w:val="0"/>
                      <w:sz w:val="18"/>
                      <w:szCs w:val="18"/>
                      <w:lang w:val="en-US" w:eastAsia="zh-CN" w:bidi="ar"/>
                    </w:rPr>
                  </w:pPr>
                </w:p>
              </w:tc>
              <w:tc>
                <w:tcPr>
                  <w:tcW w:w="5010" w:type="dxa"/>
                  <w:tcBorders>
                    <w:tl2br w:val="nil"/>
                    <w:tr2bl w:val="nil"/>
                  </w:tcBorders>
                </w:tcPr>
                <w:p>
                  <w:pPr>
                    <w:bidi w:val="0"/>
                    <w:rPr>
                      <w:rFonts w:hint="eastAsia"/>
                      <w:sz w:val="18"/>
                      <w:szCs w:val="18"/>
                      <w:lang w:eastAsia="zh-CN"/>
                    </w:rPr>
                  </w:pPr>
                  <w:r>
                    <w:rPr>
                      <w:rFonts w:hint="eastAsia"/>
                      <w:sz w:val="18"/>
                      <w:szCs w:val="18"/>
                      <w:lang w:eastAsia="zh-CN"/>
                    </w:rPr>
                    <w:t>2、技术落后、资源消耗高、污染比较严重的产业</w:t>
                  </w:r>
                </w:p>
              </w:tc>
              <w:tc>
                <w:tcPr>
                  <w:tcW w:w="1282" w:type="dxa"/>
                  <w:vMerge w:val="continue"/>
                  <w:tcBorders>
                    <w:tl2br w:val="nil"/>
                    <w:tr2bl w:val="nil"/>
                  </w:tcBorders>
                </w:tcPr>
                <w:p>
                  <w:pPr>
                    <w:keepNext w:val="0"/>
                    <w:keepLines w:val="0"/>
                    <w:widowControl/>
                    <w:suppressLineNumbers w:val="0"/>
                    <w:jc w:val="left"/>
                    <w:rPr>
                      <w:rFonts w:hint="eastAsia"/>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3" w:type="dxa"/>
                  <w:vMerge w:val="continue"/>
                  <w:tcBorders>
                    <w:tl2br w:val="nil"/>
                    <w:tr2bl w:val="nil"/>
                  </w:tcBorders>
                  <w:vAlign w:val="center"/>
                </w:tcPr>
                <w:p>
                  <w:pPr>
                    <w:keepNext w:val="0"/>
                    <w:keepLines w:val="0"/>
                    <w:widowControl/>
                    <w:suppressLineNumbers w:val="0"/>
                    <w:jc w:val="center"/>
                    <w:rPr>
                      <w:rFonts w:hint="eastAsia" w:ascii="宋体" w:hAnsi="宋体" w:cs="宋体"/>
                      <w:color w:val="000000"/>
                      <w:kern w:val="0"/>
                      <w:sz w:val="18"/>
                      <w:szCs w:val="18"/>
                      <w:lang w:val="en-US" w:eastAsia="zh-CN" w:bidi="ar"/>
                    </w:rPr>
                  </w:pPr>
                </w:p>
              </w:tc>
              <w:tc>
                <w:tcPr>
                  <w:tcW w:w="5010" w:type="dxa"/>
                  <w:tcBorders>
                    <w:tl2br w:val="nil"/>
                    <w:tr2bl w:val="nil"/>
                  </w:tcBorders>
                </w:tcPr>
                <w:p>
                  <w:pPr>
                    <w:bidi w:val="0"/>
                    <w:rPr>
                      <w:rFonts w:hint="eastAsia"/>
                      <w:sz w:val="18"/>
                      <w:szCs w:val="18"/>
                      <w:lang w:eastAsia="zh-CN"/>
                    </w:rPr>
                  </w:pPr>
                  <w:r>
                    <w:rPr>
                      <w:rFonts w:hint="eastAsia"/>
                      <w:sz w:val="18"/>
                      <w:szCs w:val="18"/>
                      <w:lang w:eastAsia="zh-CN"/>
                    </w:rPr>
                    <w:t>3、生产规模大于限制发展类条目规定，但环保指标不达标的项目</w:t>
                  </w:r>
                </w:p>
              </w:tc>
              <w:tc>
                <w:tcPr>
                  <w:tcW w:w="1282" w:type="dxa"/>
                  <w:vMerge w:val="continue"/>
                  <w:tcBorders>
                    <w:tl2br w:val="nil"/>
                    <w:tr2bl w:val="nil"/>
                  </w:tcBorders>
                </w:tcPr>
                <w:p>
                  <w:pPr>
                    <w:keepNext w:val="0"/>
                    <w:keepLines w:val="0"/>
                    <w:widowControl/>
                    <w:suppressLineNumbers w:val="0"/>
                    <w:jc w:val="left"/>
                    <w:rPr>
                      <w:rFonts w:hint="eastAsia"/>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3" w:type="dxa"/>
                  <w:vMerge w:val="continue"/>
                  <w:tcBorders>
                    <w:tl2br w:val="nil"/>
                    <w:tr2bl w:val="nil"/>
                  </w:tcBorders>
                  <w:vAlign w:val="center"/>
                </w:tcPr>
                <w:p>
                  <w:pPr>
                    <w:keepNext w:val="0"/>
                    <w:keepLines w:val="0"/>
                    <w:widowControl/>
                    <w:suppressLineNumbers w:val="0"/>
                    <w:jc w:val="center"/>
                    <w:rPr>
                      <w:rFonts w:hint="eastAsia" w:ascii="宋体" w:hAnsi="宋体" w:cs="宋体"/>
                      <w:color w:val="000000"/>
                      <w:kern w:val="0"/>
                      <w:sz w:val="18"/>
                      <w:szCs w:val="18"/>
                      <w:lang w:val="en-US" w:eastAsia="zh-CN" w:bidi="ar"/>
                    </w:rPr>
                  </w:pPr>
                </w:p>
              </w:tc>
              <w:tc>
                <w:tcPr>
                  <w:tcW w:w="5010" w:type="dxa"/>
                  <w:tcBorders>
                    <w:tl2br w:val="nil"/>
                    <w:tr2bl w:val="nil"/>
                  </w:tcBorders>
                </w:tcPr>
                <w:p>
                  <w:pPr>
                    <w:bidi w:val="0"/>
                    <w:rPr>
                      <w:rFonts w:hint="eastAsia"/>
                      <w:sz w:val="18"/>
                      <w:szCs w:val="18"/>
                      <w:lang w:eastAsia="zh-CN"/>
                    </w:rPr>
                  </w:pPr>
                  <w:r>
                    <w:rPr>
                      <w:rFonts w:hint="eastAsia"/>
                      <w:sz w:val="18"/>
                      <w:szCs w:val="18"/>
                      <w:lang w:eastAsia="zh-CN"/>
                    </w:rPr>
                    <w:t>4、国家和省明令禁止生产和淘汰的产品</w:t>
                  </w:r>
                </w:p>
              </w:tc>
              <w:tc>
                <w:tcPr>
                  <w:tcW w:w="1282" w:type="dxa"/>
                  <w:vMerge w:val="continue"/>
                  <w:tcBorders>
                    <w:tl2br w:val="nil"/>
                    <w:tr2bl w:val="nil"/>
                  </w:tcBorders>
                </w:tcPr>
                <w:p>
                  <w:pPr>
                    <w:keepNext w:val="0"/>
                    <w:keepLines w:val="0"/>
                    <w:widowControl/>
                    <w:suppressLineNumbers w:val="0"/>
                    <w:jc w:val="left"/>
                    <w:rPr>
                      <w:rFonts w:hint="eastAsia"/>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3" w:type="dxa"/>
                  <w:vMerge w:val="continue"/>
                  <w:tcBorders>
                    <w:tl2br w:val="nil"/>
                    <w:tr2bl w:val="nil"/>
                  </w:tcBorders>
                  <w:vAlign w:val="center"/>
                </w:tcPr>
                <w:p>
                  <w:pPr>
                    <w:keepNext w:val="0"/>
                    <w:keepLines w:val="0"/>
                    <w:widowControl/>
                    <w:suppressLineNumbers w:val="0"/>
                    <w:jc w:val="center"/>
                    <w:rPr>
                      <w:rFonts w:hint="eastAsia" w:ascii="宋体" w:hAnsi="宋体" w:cs="宋体"/>
                      <w:color w:val="000000"/>
                      <w:kern w:val="0"/>
                      <w:sz w:val="18"/>
                      <w:szCs w:val="18"/>
                      <w:lang w:val="en-US" w:eastAsia="zh-CN" w:bidi="ar"/>
                    </w:rPr>
                  </w:pPr>
                </w:p>
              </w:tc>
              <w:tc>
                <w:tcPr>
                  <w:tcW w:w="5010" w:type="dxa"/>
                  <w:tcBorders>
                    <w:tl2br w:val="nil"/>
                    <w:tr2bl w:val="nil"/>
                  </w:tcBorders>
                </w:tcPr>
                <w:p>
                  <w:pPr>
                    <w:bidi w:val="0"/>
                    <w:rPr>
                      <w:rFonts w:hint="eastAsia"/>
                      <w:sz w:val="18"/>
                      <w:szCs w:val="18"/>
                      <w:lang w:eastAsia="zh-CN"/>
                    </w:rPr>
                  </w:pPr>
                  <w:r>
                    <w:rPr>
                      <w:rFonts w:hint="eastAsia"/>
                      <w:sz w:val="18"/>
                      <w:szCs w:val="18"/>
                      <w:lang w:eastAsia="zh-CN"/>
                    </w:rPr>
                    <w:t>5、国家法律、行政法规禁止的其他项目</w:t>
                  </w:r>
                </w:p>
              </w:tc>
              <w:tc>
                <w:tcPr>
                  <w:tcW w:w="1282" w:type="dxa"/>
                  <w:vMerge w:val="continue"/>
                  <w:tcBorders>
                    <w:tl2br w:val="nil"/>
                    <w:tr2bl w:val="nil"/>
                  </w:tcBorders>
                </w:tcPr>
                <w:p>
                  <w:pPr>
                    <w:keepNext w:val="0"/>
                    <w:keepLines w:val="0"/>
                    <w:widowControl/>
                    <w:suppressLineNumbers w:val="0"/>
                    <w:jc w:val="left"/>
                    <w:rPr>
                      <w:rFonts w:hint="eastAsia"/>
                      <w:sz w:val="18"/>
                      <w:szCs w:val="18"/>
                      <w:lang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sz w:val="21"/>
                <w:szCs w:val="21"/>
              </w:rPr>
            </w:pPr>
            <w:r>
              <w:rPr>
                <w:rFonts w:hint="eastAsia" w:ascii="宋体" w:hAnsi="宋体" w:eastAsia="宋体" w:cs="宋体"/>
                <w:b/>
                <w:bCs/>
                <w:color w:val="000000"/>
                <w:kern w:val="0"/>
                <w:sz w:val="21"/>
                <w:szCs w:val="21"/>
                <w:lang w:val="en-US" w:eastAsia="zh-CN" w:bidi="ar"/>
              </w:rPr>
              <w:t xml:space="preserve">表 </w:t>
            </w:r>
            <w:r>
              <w:rPr>
                <w:rFonts w:hint="default" w:ascii="Times New Roman" w:hAnsi="Times New Roman" w:eastAsia="宋体" w:cs="Times New Roman"/>
                <w:b/>
                <w:bCs/>
                <w:color w:val="000000"/>
                <w:kern w:val="0"/>
                <w:sz w:val="21"/>
                <w:szCs w:val="21"/>
                <w:lang w:val="en-US" w:eastAsia="zh-CN" w:bidi="ar"/>
              </w:rPr>
              <w:t>1-</w:t>
            </w:r>
            <w:r>
              <w:rPr>
                <w:rFonts w:hint="eastAsia" w:cs="Times New Roman"/>
                <w:b/>
                <w:bCs/>
                <w:color w:val="000000"/>
                <w:kern w:val="0"/>
                <w:sz w:val="21"/>
                <w:szCs w:val="21"/>
                <w:lang w:val="en-US" w:eastAsia="zh-CN" w:bidi="ar"/>
              </w:rPr>
              <w:t>7</w:t>
            </w:r>
            <w:r>
              <w:rPr>
                <w:rFonts w:hint="default" w:ascii="Times New Roman" w:hAnsi="Times New Roman" w:eastAsia="宋体" w:cs="Times New Roman"/>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val="en-US" w:eastAsia="zh-CN" w:bidi="ar"/>
              </w:rPr>
              <w:t>本项目与启东市生态环境总体准入管控要求的符合性分析</w:t>
            </w:r>
          </w:p>
          <w:tbl>
            <w:tblPr>
              <w:tblStyle w:val="12"/>
              <w:tblW w:w="709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811"/>
              <w:gridCol w:w="26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10" w:type="dxa"/>
                  <w:tcBorders>
                    <w:tl2br w:val="nil"/>
                    <w:tr2bl w:val="nil"/>
                  </w:tcBorders>
                  <w:vAlign w:val="center"/>
                </w:tcPr>
                <w:p>
                  <w:pPr>
                    <w:keepNext w:val="0"/>
                    <w:keepLines w:val="0"/>
                    <w:widowControl/>
                    <w:suppressLineNumbers w:val="0"/>
                    <w:jc w:val="center"/>
                    <w:rPr>
                      <w:rFonts w:hint="eastAsia"/>
                      <w:vertAlign w:val="baseline"/>
                      <w:lang w:eastAsia="zh-CN"/>
                    </w:rPr>
                  </w:pPr>
                  <w:r>
                    <w:rPr>
                      <w:rFonts w:hint="eastAsia" w:ascii="宋体" w:hAnsi="宋体" w:eastAsia="宋体" w:cs="宋体"/>
                      <w:b/>
                      <w:bCs/>
                      <w:color w:val="000000"/>
                      <w:kern w:val="0"/>
                      <w:sz w:val="18"/>
                      <w:szCs w:val="18"/>
                      <w:lang w:val="en-US" w:eastAsia="zh-CN" w:bidi="ar"/>
                    </w:rPr>
                    <w:t>管控类别</w:t>
                  </w:r>
                </w:p>
              </w:tc>
              <w:tc>
                <w:tcPr>
                  <w:tcW w:w="3811" w:type="dxa"/>
                  <w:tcBorders>
                    <w:tl2br w:val="nil"/>
                    <w:tr2bl w:val="nil"/>
                  </w:tcBorders>
                  <w:vAlign w:val="center"/>
                </w:tcPr>
                <w:p>
                  <w:pPr>
                    <w:keepNext w:val="0"/>
                    <w:keepLines w:val="0"/>
                    <w:widowControl/>
                    <w:suppressLineNumbers w:val="0"/>
                    <w:jc w:val="center"/>
                    <w:rPr>
                      <w:rFonts w:hint="eastAsia"/>
                      <w:vertAlign w:val="baseline"/>
                      <w:lang w:eastAsia="zh-CN"/>
                    </w:rPr>
                  </w:pPr>
                  <w:r>
                    <w:rPr>
                      <w:rFonts w:hint="eastAsia" w:ascii="宋体" w:hAnsi="宋体" w:eastAsia="宋体" w:cs="宋体"/>
                      <w:b/>
                      <w:bCs/>
                      <w:color w:val="000000"/>
                      <w:kern w:val="0"/>
                      <w:sz w:val="18"/>
                      <w:szCs w:val="18"/>
                      <w:lang w:val="en-US" w:eastAsia="zh-CN" w:bidi="ar"/>
                    </w:rPr>
                    <w:t>管控要求</w:t>
                  </w:r>
                </w:p>
              </w:tc>
              <w:tc>
                <w:tcPr>
                  <w:tcW w:w="2675" w:type="dxa"/>
                  <w:tcBorders>
                    <w:tl2br w:val="nil"/>
                    <w:tr2bl w:val="nil"/>
                  </w:tcBorders>
                  <w:vAlign w:val="center"/>
                </w:tcPr>
                <w:p>
                  <w:pPr>
                    <w:keepNext w:val="0"/>
                    <w:keepLines w:val="0"/>
                    <w:widowControl/>
                    <w:suppressLineNumbers w:val="0"/>
                    <w:jc w:val="center"/>
                    <w:rPr>
                      <w:rFonts w:hint="eastAsia"/>
                      <w:vertAlign w:val="baseline"/>
                      <w:lang w:eastAsia="zh-CN"/>
                    </w:rPr>
                  </w:pPr>
                  <w:r>
                    <w:rPr>
                      <w:rFonts w:hint="eastAsia" w:ascii="宋体" w:hAnsi="宋体" w:eastAsia="宋体" w:cs="宋体"/>
                      <w:b/>
                      <w:bCs/>
                      <w:color w:val="000000"/>
                      <w:kern w:val="0"/>
                      <w:sz w:val="18"/>
                      <w:szCs w:val="18"/>
                      <w:lang w:val="en-US" w:eastAsia="zh-CN" w:bidi="ar"/>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10" w:type="dxa"/>
                  <w:tcBorders>
                    <w:tl2br w:val="nil"/>
                    <w:tr2bl w:val="nil"/>
                  </w:tcBorders>
                  <w:vAlign w:val="center"/>
                </w:tcPr>
                <w:p>
                  <w:pPr>
                    <w:keepNext w:val="0"/>
                    <w:keepLines w:val="0"/>
                    <w:widowControl/>
                    <w:suppressLineNumbers w:val="0"/>
                    <w:jc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空间布局约束</w:t>
                  </w:r>
                </w:p>
              </w:tc>
              <w:tc>
                <w:tcPr>
                  <w:tcW w:w="3811" w:type="dxa"/>
                  <w:tcBorders>
                    <w:tl2br w:val="nil"/>
                    <w:tr2bl w:val="nil"/>
                  </w:tcBorders>
                  <w:vAlign w:val="center"/>
                </w:tcPr>
                <w:p>
                  <w:pPr>
                    <w:keepNext w:val="0"/>
                    <w:keepLines w:val="0"/>
                    <w:widowControl/>
                    <w:suppressLineNumbers w:val="0"/>
                    <w:jc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）严格执行《江苏省“三线一单”生态环境分区管控方案》（苏政发〔</w:t>
                  </w:r>
                  <w:r>
                    <w:rPr>
                      <w:rFonts w:hint="default" w:ascii="Times New Roman" w:hAnsi="Times New Roman" w:eastAsia="宋体" w:cs="Times New Roman"/>
                      <w:color w:val="000000"/>
                      <w:kern w:val="0"/>
                      <w:sz w:val="18"/>
                      <w:szCs w:val="18"/>
                      <w:lang w:val="en-US" w:eastAsia="zh-CN" w:bidi="ar"/>
                    </w:rPr>
                    <w:t>2020</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49</w:t>
                  </w:r>
                  <w:r>
                    <w:rPr>
                      <w:rFonts w:hint="eastAsia" w:ascii="宋体" w:hAnsi="宋体" w:eastAsia="宋体" w:cs="宋体"/>
                      <w:color w:val="000000"/>
                      <w:kern w:val="0"/>
                      <w:sz w:val="18"/>
                      <w:szCs w:val="18"/>
                      <w:lang w:val="en-US" w:eastAsia="zh-CN" w:bidi="ar"/>
                    </w:rPr>
                    <w:t>号）附件</w:t>
                  </w:r>
                  <w:r>
                    <w:rPr>
                      <w:rFonts w:hint="default" w:ascii="Times New Roman" w:hAnsi="Times New Roman" w:eastAsia="宋体" w:cs="Times New Roman"/>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江苏省省域生态环境管控要求中“空间布局约束”的相关要求。严格执行《南通市“三线一单”生态环境分区管控实施方案》（通政办规〔</w:t>
                  </w:r>
                  <w:r>
                    <w:rPr>
                      <w:rFonts w:hint="default" w:ascii="Times New Roman" w:hAnsi="Times New Roman" w:eastAsia="宋体" w:cs="Times New Roman"/>
                      <w:color w:val="000000"/>
                      <w:kern w:val="0"/>
                      <w:sz w:val="18"/>
                      <w:szCs w:val="18"/>
                      <w:lang w:val="en-US" w:eastAsia="zh-CN" w:bidi="ar"/>
                    </w:rPr>
                    <w:t>2021</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4 </w:t>
                  </w:r>
                  <w:r>
                    <w:rPr>
                      <w:rFonts w:hint="eastAsia" w:ascii="宋体" w:hAnsi="宋体" w:eastAsia="宋体" w:cs="宋体"/>
                      <w:color w:val="000000"/>
                      <w:kern w:val="0"/>
                      <w:sz w:val="18"/>
                      <w:szCs w:val="18"/>
                      <w:lang w:val="en-US" w:eastAsia="zh-CN" w:bidi="ar"/>
                    </w:rPr>
                    <w:t>号）附件</w:t>
                  </w:r>
                  <w:r>
                    <w:rPr>
                      <w:rFonts w:hint="default" w:ascii="Times New Roman" w:hAnsi="Times New Roman" w:eastAsia="宋体" w:cs="Times New Roman"/>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南通市域生态环境总体准入管控要求中“空间布局约束”的相关要求。（2）严格执行《〈长江经济带发展负面清单指南〉）江苏省实施细则（试行）》；禁止引进列入《南通市工业结构调整指导目录》淘汰类的产业、列入《南通市工业产业技术改造负面清单》严格禁止的技术改造工艺装备及产品。（</w:t>
                  </w:r>
                  <w:r>
                    <w:rPr>
                      <w:rFonts w:hint="default" w:ascii="Times New Roman" w:hAnsi="Times New Roman" w:eastAsia="宋体" w:cs="Times New Roman"/>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）严格执行《关于加强高耗能、高排放建设项目生态环境源头防控的指导意见》（环环评〔</w:t>
                  </w:r>
                  <w:r>
                    <w:rPr>
                      <w:rFonts w:hint="default" w:ascii="Times New Roman" w:hAnsi="Times New Roman" w:eastAsia="宋体" w:cs="Times New Roman"/>
                      <w:color w:val="000000"/>
                      <w:kern w:val="0"/>
                      <w:sz w:val="18"/>
                      <w:szCs w:val="18"/>
                      <w:lang w:val="en-US" w:eastAsia="zh-CN" w:bidi="ar"/>
                    </w:rPr>
                    <w:t>2021</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45</w:t>
                  </w:r>
                  <w:r>
                    <w:rPr>
                      <w:rFonts w:hint="eastAsia" w:ascii="宋体" w:hAnsi="宋体" w:eastAsia="宋体" w:cs="宋体"/>
                      <w:color w:val="000000"/>
                      <w:kern w:val="0"/>
                      <w:sz w:val="18"/>
                      <w:szCs w:val="18"/>
                      <w:lang w:val="en-US" w:eastAsia="zh-CN" w:bidi="ar"/>
                    </w:rPr>
                    <w:t>号），深化“两高”项目环境准入及管控要求，承接钢铁、电解铝等产业转移地区应严格落实生态环境分区管控要求，将环境质量底线作为硬约束。严把建设项目环境准入关，对于不符合相关法律法规的项目，依法不予审批。</w:t>
                  </w:r>
                </w:p>
              </w:tc>
              <w:tc>
                <w:tcPr>
                  <w:tcW w:w="2675" w:type="dxa"/>
                  <w:tcBorders>
                    <w:tl2br w:val="nil"/>
                    <w:tr2bl w:val="nil"/>
                  </w:tcBorders>
                  <w:vAlign w:val="center"/>
                </w:tcPr>
                <w:p>
                  <w:pPr>
                    <w:keepNext w:val="0"/>
                    <w:keepLines w:val="0"/>
                    <w:widowControl/>
                    <w:suppressLineNumbers w:val="0"/>
                    <w:jc w:val="both"/>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本项目严格执行《江苏省“三线一单”生态环境分区管控方案》（苏政发〔</w:t>
                  </w:r>
                  <w:r>
                    <w:rPr>
                      <w:rFonts w:hint="default" w:ascii="Times New Roman" w:hAnsi="Times New Roman" w:eastAsia="宋体" w:cs="Times New Roman"/>
                      <w:color w:val="000000"/>
                      <w:kern w:val="0"/>
                      <w:sz w:val="18"/>
                      <w:szCs w:val="18"/>
                      <w:lang w:val="en-US" w:eastAsia="zh-CN" w:bidi="ar"/>
                    </w:rPr>
                    <w:t>2020</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49</w:t>
                  </w:r>
                  <w:r>
                    <w:rPr>
                      <w:rFonts w:hint="eastAsia" w:ascii="宋体" w:hAnsi="宋体" w:eastAsia="宋体" w:cs="宋体"/>
                      <w:color w:val="000000"/>
                      <w:kern w:val="0"/>
                      <w:sz w:val="18"/>
                      <w:szCs w:val="18"/>
                      <w:lang w:val="en-US" w:eastAsia="zh-CN" w:bidi="ar"/>
                    </w:rPr>
                    <w:t>号）附件</w:t>
                  </w:r>
                  <w:r>
                    <w:rPr>
                      <w:rFonts w:hint="default" w:ascii="Times New Roman" w:hAnsi="Times New Roman" w:eastAsia="宋体" w:cs="Times New Roman"/>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江省省域生态环境管控要求中“空间布局约束”的相关要求、《南通市“三线一单”生态环境分区管控实施方案》（通政办规〔</w:t>
                  </w:r>
                  <w:r>
                    <w:rPr>
                      <w:rFonts w:hint="default" w:ascii="Times New Roman" w:hAnsi="Times New Roman" w:eastAsia="宋体" w:cs="Times New Roman"/>
                      <w:color w:val="000000"/>
                      <w:kern w:val="0"/>
                      <w:sz w:val="18"/>
                      <w:szCs w:val="18"/>
                      <w:lang w:val="en-US" w:eastAsia="zh-CN" w:bidi="ar"/>
                    </w:rPr>
                    <w:t>2021</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4</w:t>
                  </w:r>
                  <w:r>
                    <w:rPr>
                      <w:rFonts w:hint="eastAsia" w:ascii="宋体" w:hAnsi="宋体" w:eastAsia="宋体" w:cs="宋体"/>
                      <w:color w:val="000000"/>
                      <w:kern w:val="0"/>
                      <w:sz w:val="18"/>
                      <w:szCs w:val="18"/>
                      <w:lang w:val="en-US" w:eastAsia="zh-CN" w:bidi="ar"/>
                    </w:rPr>
                    <w:t>号）附件</w:t>
                  </w:r>
                  <w:r>
                    <w:rPr>
                      <w:rFonts w:hint="default" w:ascii="Times New Roman" w:hAnsi="Times New Roman" w:eastAsia="宋体" w:cs="Times New Roman"/>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南通市域生态环境总体准入管控要求中“空间布局约束”的相关要求、《〈长江经济带发展负面清单指南〉）江苏省实施细则（试行）》；本项目不属于《南通市工业结构调整指导目录》淘汰类的产业和《南通市工业产业技术改造负面清单》严格禁止的技术改造工艺装备及产品；项目严格执行《关于加强高耗能、高排放建设项目生态环境源头防控的指导意见》（环环评〔</w:t>
                  </w:r>
                  <w:r>
                    <w:rPr>
                      <w:rFonts w:hint="default" w:ascii="Times New Roman" w:hAnsi="Times New Roman" w:eastAsia="宋体" w:cs="Times New Roman"/>
                      <w:color w:val="000000"/>
                      <w:kern w:val="0"/>
                      <w:sz w:val="18"/>
                      <w:szCs w:val="18"/>
                      <w:lang w:val="en-US" w:eastAsia="zh-CN" w:bidi="ar"/>
                    </w:rPr>
                    <w:t>2021</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45</w:t>
                  </w:r>
                  <w:r>
                    <w:rPr>
                      <w:rFonts w:hint="eastAsia" w:ascii="宋体" w:hAnsi="宋体" w:eastAsia="宋体" w:cs="宋体"/>
                      <w:color w:val="000000"/>
                      <w:kern w:val="0"/>
                      <w:sz w:val="18"/>
                      <w:szCs w:val="18"/>
                      <w:lang w:val="en-US" w:eastAsia="zh-CN" w:bidi="ar"/>
                    </w:rPr>
                    <w:t>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10" w:type="dxa"/>
                  <w:tcBorders>
                    <w:tl2br w:val="nil"/>
                    <w:tr2bl w:val="nil"/>
                  </w:tcBorders>
                  <w:vAlign w:val="center"/>
                </w:tcPr>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污染</w:t>
                  </w:r>
                </w:p>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物排</w:t>
                  </w:r>
                </w:p>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放管</w:t>
                  </w:r>
                </w:p>
                <w:p>
                  <w:pPr>
                    <w:keepNext w:val="0"/>
                    <w:keepLines w:val="0"/>
                    <w:widowControl/>
                    <w:suppressLineNumbers w:val="0"/>
                    <w:jc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控</w:t>
                  </w:r>
                </w:p>
              </w:tc>
              <w:tc>
                <w:tcPr>
                  <w:tcW w:w="3811" w:type="dxa"/>
                  <w:tcBorders>
                    <w:tl2br w:val="nil"/>
                    <w:tr2bl w:val="nil"/>
                  </w:tcBorders>
                  <w:vAlign w:val="center"/>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）严格落实污染物排放总量控制制度，把主要污染物排放总量指标作为建设项目环境影响评价审批的前置条件。排放主要污染物的建设项目，在环境影响评价文件审批前，须取得主要污染物排放总量指标。</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）根据《启东市“十四五”生态环境保护规划研究报告》大气环境质量稳步提升，空气质量优良天数比例保持在</w:t>
                  </w:r>
                  <w:r>
                    <w:rPr>
                      <w:rFonts w:hint="default" w:ascii="Times New Roman" w:hAnsi="Times New Roman" w:eastAsia="宋体" w:cs="Times New Roman"/>
                      <w:color w:val="000000"/>
                      <w:kern w:val="0"/>
                      <w:sz w:val="18"/>
                      <w:szCs w:val="18"/>
                      <w:lang w:val="en-US" w:eastAsia="zh-CN" w:bidi="ar"/>
                    </w:rPr>
                    <w:t>91.2%</w:t>
                  </w:r>
                  <w:r>
                    <w:rPr>
                      <w:rFonts w:hint="eastAsia" w:ascii="宋体" w:hAnsi="宋体" w:eastAsia="宋体" w:cs="宋体"/>
                      <w:color w:val="000000"/>
                      <w:kern w:val="0"/>
                      <w:sz w:val="18"/>
                      <w:szCs w:val="18"/>
                      <w:lang w:val="en-US" w:eastAsia="zh-CN" w:bidi="ar"/>
                    </w:rPr>
                    <w:t>以上，</w:t>
                  </w:r>
                  <w:r>
                    <w:rPr>
                      <w:rFonts w:hint="default" w:ascii="Times New Roman" w:hAnsi="Times New Roman" w:eastAsia="宋体" w:cs="Times New Roman"/>
                      <w:color w:val="000000"/>
                      <w:kern w:val="0"/>
                      <w:sz w:val="18"/>
                      <w:szCs w:val="18"/>
                      <w:lang w:val="en-US" w:eastAsia="zh-CN" w:bidi="ar"/>
                    </w:rPr>
                    <w:t>PM</w:t>
                  </w:r>
                  <w:r>
                    <w:rPr>
                      <w:rFonts w:hint="default" w:ascii="Times New Roman" w:hAnsi="Times New Roman" w:eastAsia="宋体" w:cs="Times New Roman"/>
                      <w:color w:val="000000"/>
                      <w:kern w:val="0"/>
                      <w:sz w:val="18"/>
                      <w:szCs w:val="18"/>
                      <w:vertAlign w:val="subscript"/>
                      <w:lang w:val="en-US" w:eastAsia="zh-CN" w:bidi="ar"/>
                    </w:rPr>
                    <w:t>2.5</w:t>
                  </w:r>
                  <w:r>
                    <w:rPr>
                      <w:rFonts w:hint="eastAsia" w:ascii="宋体" w:hAnsi="宋体" w:eastAsia="宋体" w:cs="宋体"/>
                      <w:color w:val="000000"/>
                      <w:kern w:val="0"/>
                      <w:sz w:val="18"/>
                      <w:szCs w:val="18"/>
                      <w:lang w:val="en-US" w:eastAsia="zh-CN" w:bidi="ar"/>
                    </w:rPr>
                    <w:t>年均浓度达到</w:t>
                  </w:r>
                  <w:r>
                    <w:rPr>
                      <w:rFonts w:hint="default" w:ascii="Times New Roman" w:hAnsi="Times New Roman" w:eastAsia="宋体" w:cs="Times New Roman"/>
                      <w:color w:val="000000"/>
                      <w:kern w:val="0"/>
                      <w:sz w:val="18"/>
                      <w:szCs w:val="18"/>
                      <w:lang w:val="en-US" w:eastAsia="zh-CN" w:bidi="ar"/>
                    </w:rPr>
                    <w:t>25</w:t>
                  </w:r>
                  <w:r>
                    <w:rPr>
                      <w:rFonts w:hint="eastAsia" w:ascii="宋体" w:hAnsi="宋体" w:eastAsia="宋体" w:cs="宋体"/>
                      <w:color w:val="000000"/>
                      <w:kern w:val="0"/>
                      <w:sz w:val="18"/>
                      <w:szCs w:val="18"/>
                      <w:lang w:val="en-US" w:eastAsia="zh-CN" w:bidi="ar"/>
                    </w:rPr>
                    <w:t>微克</w:t>
                  </w:r>
                  <w:r>
                    <w:rPr>
                      <w:rFonts w:hint="default" w:ascii="Times New Roman" w:hAnsi="Times New Roman" w:eastAsia="宋体" w:cs="Times New Roman"/>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立方米以下，单位</w:t>
                  </w:r>
                  <w:r>
                    <w:rPr>
                      <w:rFonts w:hint="default" w:ascii="Times New Roman" w:hAnsi="Times New Roman" w:eastAsia="宋体" w:cs="Times New Roman"/>
                      <w:color w:val="000000"/>
                      <w:kern w:val="0"/>
                      <w:sz w:val="18"/>
                      <w:szCs w:val="18"/>
                      <w:lang w:val="en-US" w:eastAsia="zh-CN" w:bidi="ar"/>
                    </w:rPr>
                    <w:t>GDP</w:t>
                  </w:r>
                  <w:r>
                    <w:rPr>
                      <w:rFonts w:hint="eastAsia" w:ascii="宋体" w:hAnsi="宋体" w:eastAsia="宋体" w:cs="宋体"/>
                      <w:color w:val="000000"/>
                      <w:kern w:val="0"/>
                      <w:sz w:val="18"/>
                      <w:szCs w:val="18"/>
                      <w:lang w:val="en-US" w:eastAsia="zh-CN" w:bidi="ar"/>
                    </w:rPr>
                    <w:t>二氧化碳排放下降率完成省、市下达任务。</w:t>
                  </w:r>
                </w:p>
                <w:p>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）根据《启东市“十四五”生态环境保护规划研究报告》，到</w:t>
                  </w:r>
                  <w:r>
                    <w:rPr>
                      <w:rFonts w:hint="default" w:ascii="Times New Roman" w:hAnsi="Times New Roman" w:eastAsia="宋体" w:cs="Times New Roman"/>
                      <w:color w:val="000000"/>
                      <w:kern w:val="0"/>
                      <w:sz w:val="18"/>
                      <w:szCs w:val="18"/>
                      <w:lang w:val="en-US" w:eastAsia="zh-CN" w:bidi="ar"/>
                    </w:rPr>
                    <w:t>2025</w:t>
                  </w:r>
                  <w:r>
                    <w:rPr>
                      <w:rFonts w:hint="eastAsia" w:ascii="宋体" w:hAnsi="宋体" w:eastAsia="宋体" w:cs="宋体"/>
                      <w:color w:val="000000"/>
                      <w:kern w:val="0"/>
                      <w:sz w:val="18"/>
                      <w:szCs w:val="18"/>
                      <w:lang w:val="en-US" w:eastAsia="zh-CN" w:bidi="ar"/>
                    </w:rPr>
                    <w:t>年，地表水省考以上断面水质达到或优于Ⅲ类比例达到</w:t>
                  </w:r>
                  <w:r>
                    <w:rPr>
                      <w:rFonts w:hint="default" w:ascii="Times New Roman" w:hAnsi="Times New Roman" w:eastAsia="宋体" w:cs="Times New Roman"/>
                      <w:color w:val="000000"/>
                      <w:kern w:val="0"/>
                      <w:sz w:val="18"/>
                      <w:szCs w:val="18"/>
                      <w:lang w:val="en-US" w:eastAsia="zh-CN" w:bidi="ar"/>
                    </w:rPr>
                    <w:t>100%</w:t>
                  </w:r>
                  <w:r>
                    <w:rPr>
                      <w:rFonts w:hint="eastAsia" w:ascii="宋体" w:hAnsi="宋体" w:eastAsia="宋体" w:cs="宋体"/>
                      <w:color w:val="000000"/>
                      <w:kern w:val="0"/>
                      <w:sz w:val="18"/>
                      <w:szCs w:val="18"/>
                      <w:lang w:val="en-US" w:eastAsia="zh-CN" w:bidi="ar"/>
                    </w:rPr>
                    <w:t>，集中式饮用水水源地达到或优于Ⅲ类比例保</w:t>
                  </w:r>
                  <w:r>
                    <w:rPr>
                      <w:rFonts w:hint="default" w:ascii="Times New Roman" w:hAnsi="Times New Roman" w:eastAsia="宋体" w:cs="Times New Roman"/>
                      <w:color w:val="000000"/>
                      <w:kern w:val="0"/>
                      <w:sz w:val="18"/>
                      <w:szCs w:val="18"/>
                      <w:lang w:val="en-US" w:eastAsia="zh-CN" w:bidi="ar"/>
                    </w:rPr>
                    <w:t>100%</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2025</w:t>
                  </w:r>
                  <w:r>
                    <w:rPr>
                      <w:rFonts w:hint="eastAsia" w:ascii="宋体" w:hAnsi="宋体" w:eastAsia="宋体" w:cs="宋体"/>
                      <w:color w:val="000000"/>
                      <w:kern w:val="0"/>
                      <w:sz w:val="18"/>
                      <w:szCs w:val="18"/>
                      <w:lang w:val="en-US" w:eastAsia="zh-CN" w:bidi="ar"/>
                    </w:rPr>
                    <w:t>年水污染排放量削减比例完成省市下达指标，全面消除入江支流、入海河流市考以上断面劣于Ⅴ类水体。重要生态保护区、水源涵养区江河湖泊水生态系统得到全面保护。海洋生态环境稳中向好，近岸海域水质优良面积比例完成国家和省下达指标。</w:t>
                  </w:r>
                </w:p>
              </w:tc>
              <w:tc>
                <w:tcPr>
                  <w:tcW w:w="2675" w:type="dxa"/>
                  <w:tcBorders>
                    <w:tl2br w:val="nil"/>
                    <w:tr2bl w:val="nil"/>
                  </w:tcBorders>
                  <w:vAlign w:val="center"/>
                </w:tcPr>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本项目为登记管理类，根据南通市生态环境部门规定，暂无需申请排污总量。</w:t>
                  </w:r>
                </w:p>
                <w:p>
                  <w:pPr>
                    <w:keepNext w:val="0"/>
                    <w:keepLines w:val="0"/>
                    <w:widowControl/>
                    <w:suppressLineNumbers w:val="0"/>
                    <w:jc w:val="center"/>
                    <w:rPr>
                      <w:rFonts w:hint="eastAsia" w:ascii="宋体" w:hAnsi="宋体" w:eastAsia="宋体" w:cs="宋体"/>
                      <w:b/>
                      <w:bCs/>
                      <w:color w:val="000000"/>
                      <w:kern w:val="0"/>
                      <w:sz w:val="18"/>
                      <w:szCs w:val="18"/>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10" w:type="dxa"/>
                  <w:tcBorders>
                    <w:tl2br w:val="nil"/>
                    <w:tr2bl w:val="nil"/>
                  </w:tcBorders>
                  <w:vAlign w:val="center"/>
                </w:tcPr>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环境</w:t>
                  </w:r>
                </w:p>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风险</w:t>
                  </w:r>
                </w:p>
                <w:p>
                  <w:pPr>
                    <w:keepNext w:val="0"/>
                    <w:keepLines w:val="0"/>
                    <w:widowControl/>
                    <w:suppressLineNumbers w:val="0"/>
                    <w:jc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防控</w:t>
                  </w:r>
                </w:p>
              </w:tc>
              <w:tc>
                <w:tcPr>
                  <w:tcW w:w="3811" w:type="dxa"/>
                  <w:tcBorders>
                    <w:tl2br w:val="nil"/>
                    <w:tr2bl w:val="nil"/>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）严格落实《南通市突发环境事件应急预案（</w:t>
                  </w:r>
                  <w:r>
                    <w:rPr>
                      <w:rFonts w:hint="default" w:ascii="Times New Roman" w:hAnsi="Times New Roman" w:eastAsia="宋体" w:cs="Times New Roman"/>
                      <w:color w:val="000000"/>
                      <w:kern w:val="0"/>
                      <w:sz w:val="18"/>
                      <w:szCs w:val="18"/>
                      <w:lang w:val="en-US" w:eastAsia="zh-CN" w:bidi="ar"/>
                    </w:rPr>
                    <w:t>2020</w:t>
                  </w:r>
                  <w:r>
                    <w:rPr>
                      <w:rFonts w:hint="eastAsia" w:ascii="宋体" w:hAnsi="宋体" w:eastAsia="宋体" w:cs="宋体"/>
                      <w:color w:val="000000"/>
                      <w:kern w:val="0"/>
                      <w:sz w:val="18"/>
                      <w:szCs w:val="18"/>
                      <w:lang w:val="en-US" w:eastAsia="zh-CN" w:bidi="ar"/>
                    </w:rPr>
                    <w:t>年修订版）》（通政办发〔</w:t>
                  </w:r>
                  <w:r>
                    <w:rPr>
                      <w:rFonts w:hint="default" w:ascii="Times New Roman" w:hAnsi="Times New Roman" w:eastAsia="宋体" w:cs="Times New Roman"/>
                      <w:color w:val="000000"/>
                      <w:kern w:val="0"/>
                      <w:sz w:val="18"/>
                      <w:szCs w:val="18"/>
                      <w:lang w:val="en-US" w:eastAsia="zh-CN" w:bidi="ar"/>
                    </w:rPr>
                    <w:t>2020</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46</w:t>
                  </w:r>
                  <w:r>
                    <w:rPr>
                      <w:rFonts w:hint="eastAsia" w:ascii="宋体" w:hAnsi="宋体" w:eastAsia="宋体" w:cs="宋体"/>
                      <w:color w:val="000000"/>
                      <w:kern w:val="0"/>
                      <w:sz w:val="18"/>
                      <w:szCs w:val="18"/>
                      <w:lang w:val="en-US" w:eastAsia="zh-CN" w:bidi="ar"/>
                    </w:rPr>
                    <w:t>号）文件要求。（</w:t>
                  </w:r>
                  <w:r>
                    <w:rPr>
                      <w:rFonts w:hint="default" w:ascii="Times New Roman" w:hAnsi="Times New Roman" w:eastAsia="宋体" w:cs="Times New Roman"/>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highlight w:val="none"/>
                      <w:lang w:val="en-US" w:eastAsia="zh-CN" w:bidi="ar"/>
                    </w:rPr>
                    <w:t>根据《启东市“十四五”生态</w:t>
                  </w:r>
                  <w:r>
                    <w:rPr>
                      <w:rFonts w:hint="eastAsia" w:ascii="宋体" w:hAnsi="宋体" w:cs="宋体"/>
                      <w:color w:val="000000"/>
                      <w:kern w:val="0"/>
                      <w:sz w:val="18"/>
                      <w:szCs w:val="18"/>
                      <w:highlight w:val="none"/>
                      <w:lang w:val="en-US" w:eastAsia="zh-CN" w:bidi="ar"/>
                    </w:rPr>
                    <w:t>环境保护规划》，</w:t>
                  </w:r>
                  <w:r>
                    <w:rPr>
                      <w:rFonts w:hint="eastAsia" w:ascii="宋体" w:hAnsi="宋体" w:eastAsia="宋体" w:cs="宋体"/>
                      <w:color w:val="000000"/>
                      <w:kern w:val="0"/>
                      <w:sz w:val="18"/>
                      <w:szCs w:val="18"/>
                      <w:highlight w:val="none"/>
                      <w:lang w:val="en-US" w:eastAsia="zh-CN" w:bidi="ar"/>
                    </w:rPr>
                    <w:t>严格落实《</w:t>
                  </w:r>
                  <w:r>
                    <w:rPr>
                      <w:rFonts w:hint="eastAsia" w:ascii="宋体" w:hAnsi="宋体" w:eastAsia="宋体" w:cs="宋体"/>
                      <w:color w:val="000000"/>
                      <w:kern w:val="0"/>
                      <w:sz w:val="18"/>
                      <w:szCs w:val="18"/>
                      <w:lang w:val="en-US" w:eastAsia="zh-CN" w:bidi="ar"/>
                    </w:rPr>
                    <w:t>南通市突发环境事件应急预案（</w:t>
                  </w:r>
                  <w:r>
                    <w:rPr>
                      <w:rFonts w:hint="default" w:ascii="Times New Roman" w:hAnsi="Times New Roman" w:eastAsia="宋体" w:cs="Times New Roman"/>
                      <w:color w:val="000000"/>
                      <w:kern w:val="0"/>
                      <w:sz w:val="18"/>
                      <w:szCs w:val="18"/>
                      <w:lang w:val="en-US" w:eastAsia="zh-CN" w:bidi="ar"/>
                    </w:rPr>
                    <w:t>2020</w:t>
                  </w:r>
                  <w:r>
                    <w:rPr>
                      <w:rFonts w:hint="eastAsia" w:ascii="宋体" w:hAnsi="宋体" w:eastAsia="宋体" w:cs="宋体"/>
                      <w:color w:val="000000"/>
                      <w:kern w:val="0"/>
                      <w:sz w:val="18"/>
                      <w:szCs w:val="18"/>
                      <w:lang w:val="en-US" w:eastAsia="zh-CN" w:bidi="ar"/>
                    </w:rPr>
                    <w:t>年修订版）》（通政办发〔</w:t>
                  </w:r>
                  <w:r>
                    <w:rPr>
                      <w:rFonts w:hint="default" w:ascii="Times New Roman" w:hAnsi="Times New Roman" w:eastAsia="宋体" w:cs="Times New Roman"/>
                      <w:color w:val="000000"/>
                      <w:kern w:val="0"/>
                      <w:sz w:val="18"/>
                      <w:szCs w:val="18"/>
                      <w:lang w:val="en-US" w:eastAsia="zh-CN" w:bidi="ar"/>
                    </w:rPr>
                    <w:t>2020</w:t>
                  </w:r>
                  <w:r>
                    <w:rPr>
                      <w:rFonts w:hint="eastAsia" w:ascii="宋体" w:hAnsi="宋体" w:eastAsia="宋体" w:cs="宋体"/>
                      <w:color w:val="000000"/>
                      <w:kern w:val="0"/>
                      <w:sz w:val="18"/>
                      <w:szCs w:val="18"/>
                      <w:lang w:val="en-US" w:eastAsia="zh-CN" w:bidi="ar"/>
                    </w:rPr>
                    <w:t>〕境保护规划研究报告》土壤环境质量总体保持稳定，农用地和建设用地环境安全得到进一步保障，土壤环境风险得到有效管控，全市受污染耕地安全利用率达到</w:t>
                  </w:r>
                  <w:r>
                    <w:rPr>
                      <w:rFonts w:hint="default" w:ascii="Times New Roman" w:hAnsi="Times New Roman" w:eastAsia="宋体" w:cs="Times New Roman"/>
                      <w:color w:val="000000"/>
                      <w:kern w:val="0"/>
                      <w:sz w:val="18"/>
                      <w:szCs w:val="18"/>
                      <w:lang w:val="en-US" w:eastAsia="zh-CN" w:bidi="ar"/>
                    </w:rPr>
                    <w:t>93%</w:t>
                  </w:r>
                  <w:r>
                    <w:rPr>
                      <w:rFonts w:hint="eastAsia" w:ascii="宋体" w:hAnsi="宋体" w:eastAsia="宋体" w:cs="宋体"/>
                      <w:color w:val="000000"/>
                      <w:kern w:val="0"/>
                      <w:sz w:val="18"/>
                      <w:szCs w:val="18"/>
                      <w:lang w:val="en-US" w:eastAsia="zh-CN" w:bidi="ar"/>
                    </w:rPr>
                    <w:t>以上，重点建设用地安全利用率达到</w:t>
                  </w:r>
                  <w:r>
                    <w:rPr>
                      <w:rFonts w:hint="default" w:ascii="Times New Roman" w:hAnsi="Times New Roman" w:eastAsia="宋体" w:cs="Times New Roman"/>
                      <w:color w:val="000000"/>
                      <w:kern w:val="0"/>
                      <w:sz w:val="18"/>
                      <w:szCs w:val="18"/>
                      <w:lang w:val="en-US" w:eastAsia="zh-CN" w:bidi="ar"/>
                    </w:rPr>
                    <w:t>100%</w:t>
                  </w:r>
                  <w:r>
                    <w:rPr>
                      <w:rFonts w:hint="eastAsia" w:ascii="宋体" w:hAnsi="宋体" w:eastAsia="宋体" w:cs="宋体"/>
                      <w:color w:val="000000"/>
                      <w:kern w:val="0"/>
                      <w:sz w:val="18"/>
                      <w:szCs w:val="18"/>
                      <w:lang w:val="en-US" w:eastAsia="zh-CN" w:bidi="ar"/>
                    </w:rPr>
                    <w:t>，固体废物与化学物质环境风险防控能力明显增强，核安全监管持续加强，生态环境风险防控体系更加完备。</w:t>
                  </w:r>
                </w:p>
              </w:tc>
              <w:tc>
                <w:tcPr>
                  <w:tcW w:w="2675" w:type="dxa"/>
                  <w:tcBorders>
                    <w:tl2br w:val="nil"/>
                    <w:tr2bl w:val="nil"/>
                  </w:tcBorders>
                  <w:vAlign w:val="center"/>
                </w:tcPr>
                <w:p>
                  <w:pPr>
                    <w:keepNext w:val="0"/>
                    <w:keepLines w:val="0"/>
                    <w:widowControl/>
                    <w:suppressLineNumbers w:val="0"/>
                    <w:jc w:val="both"/>
                    <w:rPr>
                      <w:rFonts w:hint="eastAsia" w:ascii="宋体" w:hAnsi="宋体" w:eastAsia="宋体" w:cs="宋体"/>
                      <w:b/>
                      <w:bCs/>
                      <w:color w:val="000000"/>
                      <w:kern w:val="0"/>
                      <w:sz w:val="18"/>
                      <w:szCs w:val="18"/>
                      <w:lang w:val="en-US" w:eastAsia="zh-CN" w:bidi="ar"/>
                    </w:rPr>
                  </w:pPr>
                  <w:r>
                    <w:rPr>
                      <w:rFonts w:hint="eastAsia"/>
                      <w:color w:val="auto"/>
                      <w:sz w:val="18"/>
                      <w:szCs w:val="18"/>
                      <w:vertAlign w:val="baseline"/>
                      <w:lang w:eastAsia="zh-CN"/>
                    </w:rPr>
                    <w:t>本项目为C1829其他针织或钩针编织服装制造，除生产设备使用润滑油外，不涉及其他环境风险物质，环境风险极小。项目投产前将编制企业突发环境应急预案，执行预案中的环境风险防控措施。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10" w:type="dxa"/>
                  <w:tcBorders>
                    <w:tl2br w:val="nil"/>
                    <w:tr2bl w:val="nil"/>
                  </w:tcBorders>
                  <w:vAlign w:val="center"/>
                </w:tcPr>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资源</w:t>
                  </w:r>
                </w:p>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利用</w:t>
                  </w:r>
                </w:p>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效率</w:t>
                  </w:r>
                </w:p>
                <w:p>
                  <w:pPr>
                    <w:keepNext w:val="0"/>
                    <w:keepLines w:val="0"/>
                    <w:widowControl/>
                    <w:suppressLineNumbers w:val="0"/>
                    <w:jc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要求</w:t>
                  </w:r>
                </w:p>
              </w:tc>
              <w:tc>
                <w:tcPr>
                  <w:tcW w:w="3811" w:type="dxa"/>
                  <w:tcBorders>
                    <w:tl2br w:val="nil"/>
                    <w:tr2bl w:val="nil"/>
                  </w:tcBorders>
                  <w:vAlign w:val="center"/>
                </w:tcPr>
                <w:p>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）根据《中华人民共和国大气污染防治法》，禁燃区禁止新建、扩建燃用高污染燃料的项目和设施，已建成的应逐步或依法限期改用天然气、电或者其他清洁能源。（</w:t>
                  </w:r>
                  <w:r>
                    <w:rPr>
                      <w:rFonts w:hint="default" w:ascii="Times New Roman" w:hAnsi="Times New Roman" w:eastAsia="宋体" w:cs="Times New Roman"/>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）到</w:t>
                  </w:r>
                  <w:r>
                    <w:rPr>
                      <w:rFonts w:hint="default" w:ascii="Times New Roman" w:hAnsi="Times New Roman" w:eastAsia="宋体" w:cs="Times New Roman"/>
                      <w:color w:val="000000"/>
                      <w:kern w:val="0"/>
                      <w:sz w:val="18"/>
                      <w:szCs w:val="18"/>
                      <w:lang w:val="en-US" w:eastAsia="zh-CN" w:bidi="ar"/>
                    </w:rPr>
                    <w:t>2025</w:t>
                  </w:r>
                  <w:r>
                    <w:rPr>
                      <w:rFonts w:hint="eastAsia" w:ascii="宋体" w:hAnsi="宋体" w:eastAsia="宋体" w:cs="宋体"/>
                      <w:color w:val="000000"/>
                      <w:kern w:val="0"/>
                      <w:sz w:val="18"/>
                      <w:szCs w:val="18"/>
                      <w:lang w:val="en-US" w:eastAsia="zh-CN" w:bidi="ar"/>
                    </w:rPr>
                    <w:t>年，能源消费总量、能源消费强度完成省市下达控制指标。到</w:t>
                  </w:r>
                  <w:r>
                    <w:rPr>
                      <w:rFonts w:hint="default" w:ascii="Times New Roman" w:hAnsi="Times New Roman" w:eastAsia="宋体" w:cs="Times New Roman"/>
                      <w:color w:val="000000"/>
                      <w:kern w:val="0"/>
                      <w:sz w:val="18"/>
                      <w:szCs w:val="18"/>
                      <w:lang w:val="en-US" w:eastAsia="zh-CN" w:bidi="ar"/>
                    </w:rPr>
                    <w:t>2025</w:t>
                  </w:r>
                  <w:r>
                    <w:rPr>
                      <w:rFonts w:hint="eastAsia" w:ascii="宋体" w:hAnsi="宋体" w:eastAsia="宋体" w:cs="宋体"/>
                      <w:color w:val="000000"/>
                      <w:kern w:val="0"/>
                      <w:sz w:val="18"/>
                      <w:szCs w:val="18"/>
                      <w:lang w:val="en-US" w:eastAsia="zh-CN" w:bidi="ar"/>
                    </w:rPr>
                    <w:t>年，全市清洁能源电力装机容量力争达到</w:t>
                  </w:r>
                  <w:r>
                    <w:rPr>
                      <w:rFonts w:hint="default" w:ascii="Times New Roman" w:hAnsi="Times New Roman" w:eastAsia="宋体" w:cs="Times New Roman"/>
                      <w:color w:val="000000"/>
                      <w:kern w:val="0"/>
                      <w:sz w:val="18"/>
                      <w:szCs w:val="18"/>
                      <w:lang w:val="en-US" w:eastAsia="zh-CN" w:bidi="ar"/>
                    </w:rPr>
                    <w:t>600</w:t>
                  </w:r>
                  <w:r>
                    <w:rPr>
                      <w:rFonts w:hint="eastAsia" w:ascii="宋体" w:hAnsi="宋体" w:eastAsia="宋体" w:cs="宋体"/>
                      <w:color w:val="000000"/>
                      <w:kern w:val="0"/>
                      <w:sz w:val="18"/>
                      <w:szCs w:val="18"/>
                      <w:lang w:val="en-US" w:eastAsia="zh-CN" w:bidi="ar"/>
                    </w:rPr>
                    <w:t>万千瓦。（</w:t>
                  </w:r>
                  <w:r>
                    <w:rPr>
                      <w:rFonts w:hint="default" w:ascii="Times New Roman" w:hAnsi="Times New Roman" w:eastAsia="宋体" w:cs="Times New Roman"/>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）根据《启东市“十四五”节水规划》，</w:t>
                  </w:r>
                  <w:r>
                    <w:rPr>
                      <w:rFonts w:hint="default" w:ascii="Times New Roman" w:hAnsi="Times New Roman" w:eastAsia="宋体" w:cs="Times New Roman"/>
                      <w:color w:val="000000"/>
                      <w:kern w:val="0"/>
                      <w:sz w:val="18"/>
                      <w:szCs w:val="18"/>
                      <w:lang w:val="en-US" w:eastAsia="zh-CN" w:bidi="ar"/>
                    </w:rPr>
                    <w:t>2025</w:t>
                  </w:r>
                  <w:r>
                    <w:rPr>
                      <w:rFonts w:hint="eastAsia" w:ascii="宋体" w:hAnsi="宋体" w:eastAsia="宋体" w:cs="宋体"/>
                      <w:color w:val="000000"/>
                      <w:kern w:val="0"/>
                      <w:sz w:val="18"/>
                      <w:szCs w:val="18"/>
                      <w:lang w:val="en-US" w:eastAsia="zh-CN" w:bidi="ar"/>
                    </w:rPr>
                    <w:t>年全市用水总量不得超过</w:t>
                  </w:r>
                  <w:r>
                    <w:rPr>
                      <w:rFonts w:hint="default" w:ascii="Times New Roman" w:hAnsi="Times New Roman" w:eastAsia="宋体" w:cs="Times New Roman"/>
                      <w:color w:val="000000"/>
                      <w:kern w:val="0"/>
                      <w:sz w:val="18"/>
                      <w:szCs w:val="18"/>
                      <w:lang w:val="en-US" w:eastAsia="zh-CN" w:bidi="ar"/>
                    </w:rPr>
                    <w:t>3.15</w:t>
                  </w:r>
                  <w:r>
                    <w:rPr>
                      <w:rFonts w:hint="eastAsia" w:ascii="宋体" w:hAnsi="宋体" w:eastAsia="宋体" w:cs="宋体"/>
                      <w:color w:val="000000"/>
                      <w:kern w:val="0"/>
                      <w:sz w:val="18"/>
                      <w:szCs w:val="18"/>
                      <w:lang w:val="en-US" w:eastAsia="zh-CN" w:bidi="ar"/>
                    </w:rPr>
                    <w:t>亿立方米，农田灌溉水有效利用系数达到</w:t>
                  </w:r>
                  <w:r>
                    <w:rPr>
                      <w:rFonts w:hint="default" w:ascii="Times New Roman" w:hAnsi="Times New Roman" w:eastAsia="宋体" w:cs="Times New Roman"/>
                      <w:color w:val="000000"/>
                      <w:kern w:val="0"/>
                      <w:sz w:val="18"/>
                      <w:szCs w:val="18"/>
                      <w:lang w:val="en-US" w:eastAsia="zh-CN" w:bidi="ar"/>
                    </w:rPr>
                    <w:t>0.68</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4</w:t>
                  </w:r>
                  <w:r>
                    <w:rPr>
                      <w:rFonts w:hint="eastAsia" w:ascii="宋体" w:hAnsi="宋体" w:eastAsia="宋体" w:cs="宋体"/>
                      <w:color w:val="000000"/>
                      <w:kern w:val="0"/>
                      <w:sz w:val="18"/>
                      <w:szCs w:val="18"/>
                      <w:lang w:val="en-US" w:eastAsia="zh-CN" w:bidi="ar"/>
                    </w:rPr>
                    <w:t>）根据《启东市“十四五”生态环境保护规划研究报告》，生物多样性得到有效保护，生态系统服务功能显著增强。到</w:t>
                  </w:r>
                  <w:r>
                    <w:rPr>
                      <w:rFonts w:hint="default" w:ascii="Times New Roman" w:hAnsi="Times New Roman" w:eastAsia="宋体" w:cs="Times New Roman"/>
                      <w:color w:val="000000"/>
                      <w:kern w:val="0"/>
                      <w:sz w:val="18"/>
                      <w:szCs w:val="18"/>
                      <w:lang w:val="en-US" w:eastAsia="zh-CN" w:bidi="ar"/>
                    </w:rPr>
                    <w:t>2025</w:t>
                  </w:r>
                  <w:r>
                    <w:rPr>
                      <w:rFonts w:hint="eastAsia" w:ascii="宋体" w:hAnsi="宋体" w:eastAsia="宋体" w:cs="宋体"/>
                      <w:color w:val="000000"/>
                      <w:kern w:val="0"/>
                      <w:sz w:val="18"/>
                      <w:szCs w:val="18"/>
                      <w:lang w:val="en-US" w:eastAsia="zh-CN" w:bidi="ar"/>
                    </w:rPr>
                    <w:t>年，全市林木覆盖率达到</w:t>
                  </w:r>
                  <w:r>
                    <w:rPr>
                      <w:rFonts w:hint="default" w:ascii="Times New Roman" w:hAnsi="Times New Roman" w:eastAsia="宋体" w:cs="Times New Roman"/>
                      <w:color w:val="000000"/>
                      <w:kern w:val="0"/>
                      <w:sz w:val="18"/>
                      <w:szCs w:val="18"/>
                      <w:lang w:val="en-US" w:eastAsia="zh-CN" w:bidi="ar"/>
                    </w:rPr>
                    <w:t>23%</w:t>
                  </w:r>
                  <w:r>
                    <w:rPr>
                      <w:rFonts w:hint="eastAsia" w:ascii="宋体" w:hAnsi="宋体" w:eastAsia="宋体" w:cs="宋体"/>
                      <w:color w:val="000000"/>
                      <w:kern w:val="0"/>
                      <w:sz w:val="18"/>
                      <w:szCs w:val="18"/>
                      <w:lang w:val="en-US" w:eastAsia="zh-CN" w:bidi="ar"/>
                    </w:rPr>
                    <w:t>以上；到</w:t>
                  </w:r>
                  <w:r>
                    <w:rPr>
                      <w:rFonts w:hint="default" w:ascii="Times New Roman" w:hAnsi="Times New Roman" w:eastAsia="宋体" w:cs="Times New Roman"/>
                      <w:color w:val="000000"/>
                      <w:kern w:val="0"/>
                      <w:sz w:val="18"/>
                      <w:szCs w:val="18"/>
                      <w:lang w:val="en-US" w:eastAsia="zh-CN" w:bidi="ar"/>
                    </w:rPr>
                    <w:t>2035</w:t>
                  </w:r>
                  <w:r>
                    <w:rPr>
                      <w:rFonts w:hint="eastAsia" w:ascii="宋体" w:hAnsi="宋体" w:eastAsia="宋体" w:cs="宋体"/>
                      <w:color w:val="000000"/>
                      <w:kern w:val="0"/>
                      <w:sz w:val="18"/>
                      <w:szCs w:val="18"/>
                      <w:lang w:val="en-US" w:eastAsia="zh-CN" w:bidi="ar"/>
                    </w:rPr>
                    <w:t>年，全市林木覆盖率保持稳定。</w:t>
                  </w:r>
                </w:p>
              </w:tc>
              <w:tc>
                <w:tcPr>
                  <w:tcW w:w="2675" w:type="dxa"/>
                  <w:tcBorders>
                    <w:tl2br w:val="nil"/>
                    <w:tr2bl w:val="nil"/>
                  </w:tcBorders>
                  <w:vAlign w:val="center"/>
                </w:tcPr>
                <w:p>
                  <w:pPr>
                    <w:keepNext w:val="0"/>
                    <w:keepLines w:val="0"/>
                    <w:widowControl/>
                    <w:suppressLineNumbers w:val="0"/>
                    <w:jc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本项目不使用高污染燃料。</w:t>
                  </w:r>
                </w:p>
              </w:tc>
            </w:tr>
          </w:tbl>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b/>
                <w:bCs/>
                <w:color w:val="auto"/>
                <w:szCs w:val="21"/>
              </w:rPr>
            </w:pPr>
            <w:r>
              <w:rPr>
                <w:rFonts w:hint="eastAsia"/>
                <w:b/>
                <w:bCs/>
                <w:color w:val="auto"/>
                <w:szCs w:val="21"/>
                <w:lang w:val="en-US" w:eastAsia="zh-CN"/>
              </w:rPr>
              <w:t>5、</w:t>
            </w:r>
            <w:r>
              <w:rPr>
                <w:rFonts w:hint="eastAsia"/>
                <w:b/>
                <w:bCs/>
                <w:color w:val="auto"/>
                <w:szCs w:val="21"/>
              </w:rPr>
              <w:t>与</w:t>
            </w:r>
            <w:bookmarkStart w:id="5" w:name="OLE_LINK122"/>
            <w:r>
              <w:rPr>
                <w:rFonts w:hint="eastAsia"/>
                <w:b/>
                <w:bCs/>
                <w:color w:val="auto"/>
                <w:szCs w:val="21"/>
              </w:rPr>
              <w:t>《长江经济带发展负面清单指南（试行，2022年版）》</w:t>
            </w:r>
            <w:bookmarkEnd w:id="5"/>
            <w:r>
              <w:rPr>
                <w:rFonts w:hint="eastAsia"/>
                <w:b/>
                <w:bCs/>
                <w:color w:val="auto"/>
                <w:szCs w:val="21"/>
              </w:rPr>
              <w:t>相符性</w:t>
            </w:r>
          </w:p>
          <w:p>
            <w:pPr>
              <w:spacing w:line="360" w:lineRule="auto"/>
              <w:ind w:firstLine="420" w:firstLineChars="200"/>
              <w:rPr>
                <w:color w:val="auto"/>
                <w:szCs w:val="21"/>
              </w:rPr>
            </w:pPr>
            <w:r>
              <w:rPr>
                <w:color w:val="auto"/>
                <w:szCs w:val="21"/>
              </w:rPr>
              <w:t>A、对照《关于印发&lt;长江经济带发展负面清单指南&gt;（试行，2022年版）的通知》（长江办〔2022〕7号），本项目属于</w:t>
            </w:r>
            <w:r>
              <w:rPr>
                <w:rFonts w:hint="eastAsia"/>
                <w:color w:val="auto"/>
              </w:rPr>
              <w:t>C1829其他针织或钩针编织服装制造</w:t>
            </w:r>
            <w:r>
              <w:rPr>
                <w:color w:val="auto"/>
                <w:szCs w:val="21"/>
              </w:rPr>
              <w:t>，不在长江经济带发展负面清单指南提出的禁止范畴内，因此符合指导意见要求。</w:t>
            </w:r>
          </w:p>
          <w:p>
            <w:pPr>
              <w:jc w:val="center"/>
              <w:rPr>
                <w:color w:val="auto"/>
                <w:sz w:val="21"/>
                <w:szCs w:val="21"/>
              </w:rPr>
            </w:pPr>
            <w:r>
              <w:rPr>
                <w:b/>
                <w:bCs/>
                <w:color w:val="auto"/>
                <w:sz w:val="21"/>
                <w:szCs w:val="21"/>
              </w:rPr>
              <w:t>表1-</w:t>
            </w:r>
            <w:r>
              <w:rPr>
                <w:rFonts w:hint="eastAsia"/>
                <w:b/>
                <w:bCs/>
                <w:color w:val="auto"/>
                <w:sz w:val="21"/>
                <w:szCs w:val="21"/>
                <w:lang w:val="en-US" w:eastAsia="zh-CN"/>
              </w:rPr>
              <w:t>8</w:t>
            </w:r>
            <w:r>
              <w:rPr>
                <w:rFonts w:hint="eastAsia"/>
                <w:b/>
                <w:bCs/>
                <w:color w:val="auto"/>
                <w:sz w:val="21"/>
                <w:szCs w:val="21"/>
              </w:rPr>
              <w:t xml:space="preserve"> </w:t>
            </w:r>
            <w:r>
              <w:rPr>
                <w:b/>
                <w:bCs/>
                <w:color w:val="auto"/>
                <w:sz w:val="21"/>
                <w:szCs w:val="21"/>
              </w:rPr>
              <w:t>与《&lt;长江经济带发展负面清单指南&gt;》相符性分析</w:t>
            </w:r>
          </w:p>
          <w:tbl>
            <w:tblPr>
              <w:tblStyle w:val="11"/>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354"/>
              <w:gridCol w:w="3482"/>
              <w:gridCol w:w="2739"/>
              <w:gridCol w:w="52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58" w:hRule="exact"/>
                <w:jc w:val="center"/>
              </w:trPr>
              <w:tc>
                <w:tcPr>
                  <w:tcW w:w="249" w:type="pct"/>
                  <w:noWrap w:val="0"/>
                  <w:vAlign w:val="center"/>
                </w:tcPr>
                <w:p>
                  <w:pPr>
                    <w:adjustRightInd w:val="0"/>
                    <w:snapToGrid w:val="0"/>
                    <w:jc w:val="center"/>
                    <w:rPr>
                      <w:b/>
                      <w:bCs/>
                      <w:color w:val="auto"/>
                      <w:sz w:val="18"/>
                      <w:szCs w:val="18"/>
                    </w:rPr>
                  </w:pPr>
                  <w:r>
                    <w:rPr>
                      <w:b/>
                      <w:bCs/>
                      <w:color w:val="auto"/>
                      <w:sz w:val="18"/>
                      <w:szCs w:val="18"/>
                    </w:rPr>
                    <w:t>序号</w:t>
                  </w:r>
                </w:p>
              </w:tc>
              <w:tc>
                <w:tcPr>
                  <w:tcW w:w="2453" w:type="pct"/>
                  <w:noWrap w:val="0"/>
                  <w:vAlign w:val="center"/>
                </w:tcPr>
                <w:p>
                  <w:pPr>
                    <w:adjustRightInd w:val="0"/>
                    <w:snapToGrid w:val="0"/>
                    <w:jc w:val="center"/>
                    <w:rPr>
                      <w:b/>
                      <w:bCs/>
                      <w:color w:val="auto"/>
                      <w:sz w:val="18"/>
                      <w:szCs w:val="18"/>
                    </w:rPr>
                  </w:pPr>
                  <w:r>
                    <w:rPr>
                      <w:b/>
                      <w:bCs/>
                      <w:color w:val="auto"/>
                      <w:sz w:val="18"/>
                      <w:szCs w:val="18"/>
                    </w:rPr>
                    <w:t>管控条款</w:t>
                  </w:r>
                </w:p>
              </w:tc>
              <w:tc>
                <w:tcPr>
                  <w:tcW w:w="1930" w:type="pct"/>
                  <w:noWrap w:val="0"/>
                  <w:vAlign w:val="center"/>
                </w:tcPr>
                <w:p>
                  <w:pPr>
                    <w:adjustRightInd w:val="0"/>
                    <w:snapToGrid w:val="0"/>
                    <w:jc w:val="center"/>
                    <w:rPr>
                      <w:b/>
                      <w:bCs/>
                      <w:color w:val="auto"/>
                      <w:sz w:val="18"/>
                      <w:szCs w:val="18"/>
                    </w:rPr>
                  </w:pPr>
                  <w:r>
                    <w:rPr>
                      <w:b/>
                      <w:bCs/>
                      <w:color w:val="auto"/>
                      <w:sz w:val="18"/>
                      <w:szCs w:val="18"/>
                    </w:rPr>
                    <w:t>本项目情况</w:t>
                  </w:r>
                </w:p>
              </w:tc>
              <w:tc>
                <w:tcPr>
                  <w:tcW w:w="367" w:type="pct"/>
                  <w:noWrap w:val="0"/>
                  <w:vAlign w:val="center"/>
                </w:tcPr>
                <w:p>
                  <w:pPr>
                    <w:adjustRightInd w:val="0"/>
                    <w:snapToGrid w:val="0"/>
                    <w:jc w:val="center"/>
                    <w:rPr>
                      <w:b/>
                      <w:bCs/>
                      <w:color w:val="auto"/>
                      <w:sz w:val="18"/>
                      <w:szCs w:val="18"/>
                    </w:rPr>
                  </w:pPr>
                  <w:r>
                    <w:rPr>
                      <w:b/>
                      <w:bCs/>
                      <w:color w:val="auto"/>
                      <w:sz w:val="18"/>
                      <w:szCs w:val="18"/>
                    </w:rPr>
                    <w:t>相符性</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001" w:hRule="exact"/>
                <w:jc w:val="center"/>
              </w:trPr>
              <w:tc>
                <w:tcPr>
                  <w:tcW w:w="249" w:type="pct"/>
                  <w:noWrap w:val="0"/>
                  <w:vAlign w:val="center"/>
                </w:tcPr>
                <w:p>
                  <w:pPr>
                    <w:adjustRightInd w:val="0"/>
                    <w:snapToGrid w:val="0"/>
                    <w:jc w:val="center"/>
                    <w:rPr>
                      <w:color w:val="auto"/>
                      <w:sz w:val="18"/>
                      <w:szCs w:val="18"/>
                    </w:rPr>
                  </w:pPr>
                  <w:r>
                    <w:rPr>
                      <w:color w:val="auto"/>
                      <w:sz w:val="18"/>
                      <w:szCs w:val="18"/>
                    </w:rPr>
                    <w:t>1</w:t>
                  </w:r>
                </w:p>
              </w:tc>
              <w:tc>
                <w:tcPr>
                  <w:tcW w:w="2453" w:type="pct"/>
                  <w:noWrap w:val="0"/>
                  <w:vAlign w:val="center"/>
                </w:tcPr>
                <w:p>
                  <w:pPr>
                    <w:adjustRightInd w:val="0"/>
                    <w:snapToGrid w:val="0"/>
                    <w:jc w:val="center"/>
                    <w:rPr>
                      <w:color w:val="auto"/>
                      <w:sz w:val="18"/>
                      <w:szCs w:val="18"/>
                    </w:rPr>
                  </w:pPr>
                  <w:r>
                    <w:rPr>
                      <w:color w:val="auto"/>
                      <w:sz w:val="18"/>
                      <w:szCs w:val="18"/>
                    </w:rPr>
                    <w:t>禁止建设不符合全国和省级港口布局规划以及港口总体规划的码头项目，禁止建设不符合《长江干线过江通道布局规划》的过长江通道项目。</w:t>
                  </w:r>
                </w:p>
              </w:tc>
              <w:tc>
                <w:tcPr>
                  <w:tcW w:w="1930" w:type="pct"/>
                  <w:noWrap w:val="0"/>
                  <w:vAlign w:val="center"/>
                </w:tcPr>
                <w:p>
                  <w:pPr>
                    <w:adjustRightInd w:val="0"/>
                    <w:snapToGrid w:val="0"/>
                    <w:jc w:val="center"/>
                    <w:rPr>
                      <w:color w:val="auto"/>
                      <w:sz w:val="18"/>
                      <w:szCs w:val="18"/>
                    </w:rPr>
                  </w:pPr>
                  <w:r>
                    <w:rPr>
                      <w:color w:val="auto"/>
                      <w:sz w:val="18"/>
                      <w:szCs w:val="18"/>
                    </w:rPr>
                    <w:t>项目不属于码头及过长江通道项目。</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403" w:hRule="exact"/>
                <w:jc w:val="center"/>
              </w:trPr>
              <w:tc>
                <w:tcPr>
                  <w:tcW w:w="249" w:type="pct"/>
                  <w:noWrap w:val="0"/>
                  <w:vAlign w:val="center"/>
                </w:tcPr>
                <w:p>
                  <w:pPr>
                    <w:adjustRightInd w:val="0"/>
                    <w:snapToGrid w:val="0"/>
                    <w:jc w:val="center"/>
                    <w:rPr>
                      <w:color w:val="auto"/>
                      <w:sz w:val="18"/>
                      <w:szCs w:val="18"/>
                    </w:rPr>
                  </w:pPr>
                  <w:r>
                    <w:rPr>
                      <w:color w:val="auto"/>
                      <w:sz w:val="18"/>
                      <w:szCs w:val="18"/>
                    </w:rPr>
                    <w:t>2</w:t>
                  </w:r>
                </w:p>
              </w:tc>
              <w:tc>
                <w:tcPr>
                  <w:tcW w:w="2453" w:type="pct"/>
                  <w:noWrap w:val="0"/>
                  <w:vAlign w:val="center"/>
                </w:tcPr>
                <w:p>
                  <w:pPr>
                    <w:adjustRightInd w:val="0"/>
                    <w:snapToGrid w:val="0"/>
                    <w:jc w:val="center"/>
                    <w:rPr>
                      <w:color w:val="auto"/>
                      <w:sz w:val="18"/>
                      <w:szCs w:val="18"/>
                    </w:rPr>
                  </w:pPr>
                  <w:r>
                    <w:rPr>
                      <w:color w:val="auto"/>
                      <w:sz w:val="18"/>
                      <w:szCs w:val="18"/>
                    </w:rPr>
                    <w:t>禁止在自然保护区核心区、缓冲区的岸线和河段范围内投资建设旅游和生产经营项目。禁止在风景名胜区核心景区的岸线和河段范围内投资建设与风景名胜资源保护无关的项目。</w:t>
                  </w:r>
                </w:p>
              </w:tc>
              <w:tc>
                <w:tcPr>
                  <w:tcW w:w="1930" w:type="pct"/>
                  <w:noWrap w:val="0"/>
                  <w:vAlign w:val="center"/>
                </w:tcPr>
                <w:p>
                  <w:pPr>
                    <w:adjustRightInd w:val="0"/>
                    <w:snapToGrid w:val="0"/>
                    <w:jc w:val="center"/>
                    <w:rPr>
                      <w:rFonts w:hint="eastAsia"/>
                      <w:color w:val="auto"/>
                      <w:sz w:val="18"/>
                      <w:szCs w:val="18"/>
                    </w:rPr>
                  </w:pPr>
                  <w:r>
                    <w:rPr>
                      <w:color w:val="auto"/>
                      <w:sz w:val="18"/>
                      <w:szCs w:val="18"/>
                    </w:rPr>
                    <w:t>本</w:t>
                  </w:r>
                  <w:r>
                    <w:rPr>
                      <w:rFonts w:hint="eastAsia"/>
                      <w:color w:val="auto"/>
                      <w:sz w:val="18"/>
                      <w:szCs w:val="18"/>
                    </w:rPr>
                    <w:t>项目不涉及自然保护区和风景名胜区</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712" w:hRule="exact"/>
                <w:jc w:val="center"/>
              </w:trPr>
              <w:tc>
                <w:tcPr>
                  <w:tcW w:w="249" w:type="pct"/>
                  <w:noWrap w:val="0"/>
                  <w:vAlign w:val="center"/>
                </w:tcPr>
                <w:p>
                  <w:pPr>
                    <w:adjustRightInd w:val="0"/>
                    <w:snapToGrid w:val="0"/>
                    <w:jc w:val="center"/>
                    <w:rPr>
                      <w:color w:val="auto"/>
                      <w:sz w:val="18"/>
                      <w:szCs w:val="18"/>
                    </w:rPr>
                  </w:pPr>
                  <w:r>
                    <w:rPr>
                      <w:color w:val="auto"/>
                      <w:sz w:val="18"/>
                      <w:szCs w:val="18"/>
                    </w:rPr>
                    <w:t>3</w:t>
                  </w:r>
                </w:p>
              </w:tc>
              <w:tc>
                <w:tcPr>
                  <w:tcW w:w="2453" w:type="pct"/>
                  <w:noWrap w:val="0"/>
                  <w:vAlign w:val="center"/>
                </w:tcPr>
                <w:p>
                  <w:pPr>
                    <w:adjustRightInd w:val="0"/>
                    <w:snapToGrid w:val="0"/>
                    <w:jc w:val="center"/>
                    <w:rPr>
                      <w:color w:val="auto"/>
                      <w:sz w:val="18"/>
                      <w:szCs w:val="18"/>
                    </w:rPr>
                  </w:pPr>
                  <w:r>
                    <w:rPr>
                      <w:color w:val="auto"/>
                      <w:sz w:val="18"/>
                      <w:szCs w:val="18"/>
                    </w:rPr>
                    <w:t>禁止在饮用水水源一级保护区的岸线和河段范围内新建、</w:t>
                  </w:r>
                  <w:r>
                    <w:rPr>
                      <w:rFonts w:hint="eastAsia"/>
                      <w:color w:val="auto"/>
                      <w:sz w:val="18"/>
                      <w:szCs w:val="18"/>
                      <w:lang w:eastAsia="zh-CN"/>
                    </w:rPr>
                    <w:t>技改</w:t>
                  </w:r>
                  <w:r>
                    <w:rPr>
                      <w:color w:val="auto"/>
                      <w:sz w:val="18"/>
                      <w:szCs w:val="18"/>
                    </w:rPr>
                    <w:t>、扩建与供水设施和保护水源无关的项目，以及网箱养殖、畜禽养殖、旅游等可能污染饮用水水体的投资建设项目。禁止在饮用水水源二级保护区的岸线和河段范围内新建、</w:t>
                  </w:r>
                  <w:r>
                    <w:rPr>
                      <w:rFonts w:hint="eastAsia"/>
                      <w:color w:val="auto"/>
                      <w:sz w:val="18"/>
                      <w:szCs w:val="18"/>
                      <w:lang w:eastAsia="zh-CN"/>
                    </w:rPr>
                    <w:t>技改</w:t>
                  </w:r>
                  <w:r>
                    <w:rPr>
                      <w:color w:val="auto"/>
                      <w:sz w:val="18"/>
                      <w:szCs w:val="18"/>
                    </w:rPr>
                    <w:t>、扩建排放污染物的投资建设项目。</w:t>
                  </w:r>
                </w:p>
              </w:tc>
              <w:tc>
                <w:tcPr>
                  <w:tcW w:w="1930" w:type="pct"/>
                  <w:noWrap w:val="0"/>
                  <w:vAlign w:val="center"/>
                </w:tcPr>
                <w:p>
                  <w:pPr>
                    <w:adjustRightInd w:val="0"/>
                    <w:snapToGrid w:val="0"/>
                    <w:jc w:val="center"/>
                    <w:rPr>
                      <w:color w:val="auto"/>
                      <w:sz w:val="18"/>
                      <w:szCs w:val="18"/>
                    </w:rPr>
                  </w:pPr>
                  <w:r>
                    <w:rPr>
                      <w:rFonts w:hint="eastAsia"/>
                      <w:color w:val="auto"/>
                      <w:sz w:val="18"/>
                      <w:szCs w:val="18"/>
                    </w:rPr>
                    <w:t>本项目不涉及国家生态红线。</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779" w:hRule="exact"/>
                <w:jc w:val="center"/>
              </w:trPr>
              <w:tc>
                <w:tcPr>
                  <w:tcW w:w="249" w:type="pct"/>
                  <w:noWrap w:val="0"/>
                  <w:vAlign w:val="center"/>
                </w:tcPr>
                <w:p>
                  <w:pPr>
                    <w:adjustRightInd w:val="0"/>
                    <w:snapToGrid w:val="0"/>
                    <w:jc w:val="center"/>
                    <w:rPr>
                      <w:color w:val="auto"/>
                      <w:sz w:val="18"/>
                      <w:szCs w:val="18"/>
                    </w:rPr>
                  </w:pPr>
                  <w:r>
                    <w:rPr>
                      <w:color w:val="auto"/>
                      <w:sz w:val="18"/>
                      <w:szCs w:val="18"/>
                    </w:rPr>
                    <w:t>4</w:t>
                  </w:r>
                </w:p>
              </w:tc>
              <w:tc>
                <w:tcPr>
                  <w:tcW w:w="2453" w:type="pct"/>
                  <w:noWrap w:val="0"/>
                  <w:vAlign w:val="center"/>
                </w:tcPr>
                <w:p>
                  <w:pPr>
                    <w:adjustRightInd w:val="0"/>
                    <w:snapToGrid w:val="0"/>
                    <w:jc w:val="center"/>
                    <w:rPr>
                      <w:color w:val="auto"/>
                      <w:sz w:val="18"/>
                      <w:szCs w:val="18"/>
                    </w:rPr>
                  </w:pPr>
                  <w:r>
                    <w:rPr>
                      <w:color w:val="auto"/>
                      <w:sz w:val="18"/>
                      <w:szCs w:val="18"/>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930" w:type="pct"/>
                  <w:noWrap w:val="0"/>
                  <w:vAlign w:val="center"/>
                </w:tcPr>
                <w:p>
                  <w:pPr>
                    <w:adjustRightInd w:val="0"/>
                    <w:snapToGrid w:val="0"/>
                    <w:jc w:val="center"/>
                    <w:rPr>
                      <w:color w:val="auto"/>
                      <w:sz w:val="18"/>
                      <w:szCs w:val="18"/>
                    </w:rPr>
                  </w:pPr>
                  <w:r>
                    <w:rPr>
                      <w:rFonts w:hint="eastAsia"/>
                      <w:color w:val="auto"/>
                      <w:sz w:val="18"/>
                      <w:szCs w:val="18"/>
                    </w:rPr>
                    <w:t>本项目不涉及国家生态红线及生态空间管控区</w:t>
                  </w:r>
                  <w:r>
                    <w:rPr>
                      <w:color w:val="auto"/>
                      <w:sz w:val="18"/>
                      <w:szCs w:val="18"/>
                    </w:rPr>
                    <w:t>。</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173" w:hRule="exact"/>
                <w:jc w:val="center"/>
              </w:trPr>
              <w:tc>
                <w:tcPr>
                  <w:tcW w:w="249" w:type="pct"/>
                  <w:noWrap w:val="0"/>
                  <w:vAlign w:val="center"/>
                </w:tcPr>
                <w:p>
                  <w:pPr>
                    <w:adjustRightInd w:val="0"/>
                    <w:snapToGrid w:val="0"/>
                    <w:jc w:val="center"/>
                    <w:rPr>
                      <w:color w:val="auto"/>
                      <w:sz w:val="18"/>
                      <w:szCs w:val="18"/>
                    </w:rPr>
                  </w:pPr>
                  <w:r>
                    <w:rPr>
                      <w:color w:val="auto"/>
                      <w:sz w:val="18"/>
                      <w:szCs w:val="18"/>
                    </w:rPr>
                    <w:t>5</w:t>
                  </w:r>
                </w:p>
              </w:tc>
              <w:tc>
                <w:tcPr>
                  <w:tcW w:w="2453" w:type="pct"/>
                  <w:noWrap w:val="0"/>
                  <w:vAlign w:val="center"/>
                </w:tcPr>
                <w:p>
                  <w:pPr>
                    <w:adjustRightInd w:val="0"/>
                    <w:snapToGrid w:val="0"/>
                    <w:jc w:val="center"/>
                    <w:rPr>
                      <w:color w:val="auto"/>
                      <w:sz w:val="18"/>
                      <w:szCs w:val="18"/>
                    </w:rPr>
                  </w:pPr>
                  <w:r>
                    <w:rPr>
                      <w:color w:val="auto"/>
                      <w:sz w:val="18"/>
                      <w:szCs w:val="18"/>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930" w:type="pct"/>
                  <w:noWrap w:val="0"/>
                  <w:vAlign w:val="center"/>
                </w:tcPr>
                <w:p>
                  <w:pPr>
                    <w:adjustRightInd w:val="0"/>
                    <w:snapToGrid w:val="0"/>
                    <w:jc w:val="center"/>
                    <w:rPr>
                      <w:color w:val="auto"/>
                      <w:sz w:val="18"/>
                      <w:szCs w:val="18"/>
                    </w:rPr>
                  </w:pPr>
                  <w:r>
                    <w:rPr>
                      <w:rFonts w:hint="eastAsia"/>
                      <w:color w:val="auto"/>
                      <w:sz w:val="18"/>
                      <w:szCs w:val="18"/>
                    </w:rPr>
                    <w:t>本项目不涉及国家生态红线及生态空间管控区</w:t>
                  </w:r>
                  <w:r>
                    <w:rPr>
                      <w:color w:val="auto"/>
                      <w:sz w:val="18"/>
                      <w:szCs w:val="18"/>
                    </w:rPr>
                    <w:t>。</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138" w:hRule="exact"/>
                <w:jc w:val="center"/>
              </w:trPr>
              <w:tc>
                <w:tcPr>
                  <w:tcW w:w="249" w:type="pct"/>
                  <w:noWrap w:val="0"/>
                  <w:vAlign w:val="center"/>
                </w:tcPr>
                <w:p>
                  <w:pPr>
                    <w:adjustRightInd w:val="0"/>
                    <w:snapToGrid w:val="0"/>
                    <w:jc w:val="center"/>
                    <w:rPr>
                      <w:color w:val="auto"/>
                      <w:sz w:val="18"/>
                      <w:szCs w:val="18"/>
                    </w:rPr>
                  </w:pPr>
                  <w:r>
                    <w:rPr>
                      <w:color w:val="auto"/>
                      <w:sz w:val="18"/>
                      <w:szCs w:val="18"/>
                    </w:rPr>
                    <w:t>6</w:t>
                  </w:r>
                </w:p>
              </w:tc>
              <w:tc>
                <w:tcPr>
                  <w:tcW w:w="2453" w:type="pct"/>
                  <w:noWrap w:val="0"/>
                  <w:vAlign w:val="center"/>
                </w:tcPr>
                <w:p>
                  <w:pPr>
                    <w:adjustRightInd w:val="0"/>
                    <w:snapToGrid w:val="0"/>
                    <w:jc w:val="center"/>
                    <w:rPr>
                      <w:color w:val="auto"/>
                      <w:sz w:val="18"/>
                      <w:szCs w:val="18"/>
                    </w:rPr>
                  </w:pPr>
                  <w:r>
                    <w:rPr>
                      <w:color w:val="auto"/>
                      <w:sz w:val="18"/>
                      <w:szCs w:val="18"/>
                    </w:rPr>
                    <w:t>禁止未经许可在长江干支流及湖泊新设、改设或扩大排污口。</w:t>
                  </w:r>
                </w:p>
              </w:tc>
              <w:tc>
                <w:tcPr>
                  <w:tcW w:w="1930" w:type="pct"/>
                  <w:noWrap w:val="0"/>
                  <w:vAlign w:val="center"/>
                </w:tcPr>
                <w:p>
                  <w:pPr>
                    <w:adjustRightInd w:val="0"/>
                    <w:snapToGrid w:val="0"/>
                    <w:jc w:val="center"/>
                    <w:rPr>
                      <w:color w:val="auto"/>
                      <w:sz w:val="18"/>
                      <w:szCs w:val="18"/>
                    </w:rPr>
                  </w:pPr>
                  <w:r>
                    <w:rPr>
                      <w:rFonts w:hint="eastAsia"/>
                      <w:color w:val="auto"/>
                      <w:sz w:val="18"/>
                      <w:szCs w:val="18"/>
                    </w:rPr>
                    <w:t>本项目生产废水接入市城市污水处理厂深度处理</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734" w:hRule="exact"/>
                <w:jc w:val="center"/>
              </w:trPr>
              <w:tc>
                <w:tcPr>
                  <w:tcW w:w="249" w:type="pct"/>
                  <w:noWrap w:val="0"/>
                  <w:vAlign w:val="center"/>
                </w:tcPr>
                <w:p>
                  <w:pPr>
                    <w:adjustRightInd w:val="0"/>
                    <w:snapToGrid w:val="0"/>
                    <w:jc w:val="center"/>
                    <w:rPr>
                      <w:rFonts w:hint="eastAsia"/>
                      <w:color w:val="auto"/>
                      <w:sz w:val="18"/>
                      <w:szCs w:val="18"/>
                    </w:rPr>
                  </w:pPr>
                  <w:r>
                    <w:rPr>
                      <w:rFonts w:hint="eastAsia"/>
                      <w:color w:val="auto"/>
                      <w:sz w:val="18"/>
                      <w:szCs w:val="18"/>
                    </w:rPr>
                    <w:t>7</w:t>
                  </w:r>
                </w:p>
              </w:tc>
              <w:tc>
                <w:tcPr>
                  <w:tcW w:w="2453" w:type="pct"/>
                  <w:noWrap w:val="0"/>
                  <w:vAlign w:val="center"/>
                </w:tcPr>
                <w:p>
                  <w:pPr>
                    <w:adjustRightInd w:val="0"/>
                    <w:snapToGrid w:val="0"/>
                    <w:jc w:val="center"/>
                    <w:rPr>
                      <w:color w:val="auto"/>
                      <w:sz w:val="18"/>
                      <w:szCs w:val="18"/>
                    </w:rPr>
                  </w:pPr>
                  <w:r>
                    <w:rPr>
                      <w:color w:val="auto"/>
                      <w:sz w:val="18"/>
                      <w:szCs w:val="18"/>
                    </w:rPr>
                    <w:t>禁止在“一江一口两湖七河”和332个水生生物保护区开展生产性捕捞。</w:t>
                  </w:r>
                </w:p>
              </w:tc>
              <w:tc>
                <w:tcPr>
                  <w:tcW w:w="1930" w:type="pct"/>
                  <w:noWrap w:val="0"/>
                  <w:vAlign w:val="center"/>
                </w:tcPr>
                <w:p>
                  <w:pPr>
                    <w:adjustRightInd w:val="0"/>
                    <w:snapToGrid w:val="0"/>
                    <w:jc w:val="center"/>
                    <w:rPr>
                      <w:color w:val="auto"/>
                      <w:sz w:val="18"/>
                      <w:szCs w:val="18"/>
                    </w:rPr>
                  </w:pPr>
                  <w:r>
                    <w:rPr>
                      <w:color w:val="auto"/>
                      <w:sz w:val="18"/>
                      <w:szCs w:val="18"/>
                    </w:rPr>
                    <w:t>项目不涉及生产性捕捞。</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410" w:hRule="exact"/>
                <w:jc w:val="center"/>
              </w:trPr>
              <w:tc>
                <w:tcPr>
                  <w:tcW w:w="249" w:type="pct"/>
                  <w:noWrap w:val="0"/>
                  <w:vAlign w:val="center"/>
                </w:tcPr>
                <w:p>
                  <w:pPr>
                    <w:adjustRightInd w:val="0"/>
                    <w:snapToGrid w:val="0"/>
                    <w:jc w:val="center"/>
                    <w:rPr>
                      <w:rFonts w:hint="eastAsia"/>
                      <w:color w:val="auto"/>
                      <w:sz w:val="18"/>
                      <w:szCs w:val="18"/>
                    </w:rPr>
                  </w:pPr>
                  <w:r>
                    <w:rPr>
                      <w:rFonts w:hint="eastAsia"/>
                      <w:color w:val="auto"/>
                      <w:sz w:val="18"/>
                      <w:szCs w:val="18"/>
                    </w:rPr>
                    <w:t>8</w:t>
                  </w:r>
                </w:p>
              </w:tc>
              <w:tc>
                <w:tcPr>
                  <w:tcW w:w="2453" w:type="pct"/>
                  <w:noWrap w:val="0"/>
                  <w:vAlign w:val="center"/>
                </w:tcPr>
                <w:p>
                  <w:pPr>
                    <w:adjustRightInd w:val="0"/>
                    <w:snapToGrid w:val="0"/>
                    <w:jc w:val="center"/>
                    <w:rPr>
                      <w:color w:val="auto"/>
                      <w:sz w:val="18"/>
                      <w:szCs w:val="18"/>
                    </w:rPr>
                  </w:pPr>
                  <w:r>
                    <w:rPr>
                      <w:color w:val="auto"/>
                      <w:sz w:val="18"/>
                      <w:szCs w:val="18"/>
                    </w:rPr>
                    <w:t>禁止在长江干支流、重要湖泊岸线一公里范围内新建、扩建化工园区和化工项目。禁止在长江干流岸线三公里范围内和重要支流岸线一公里范围内新建、</w:t>
                  </w:r>
                  <w:r>
                    <w:rPr>
                      <w:rFonts w:hint="eastAsia"/>
                      <w:color w:val="auto"/>
                      <w:sz w:val="18"/>
                      <w:szCs w:val="18"/>
                      <w:lang w:eastAsia="zh-CN"/>
                    </w:rPr>
                    <w:t>技改</w:t>
                  </w:r>
                  <w:r>
                    <w:rPr>
                      <w:color w:val="auto"/>
                      <w:sz w:val="18"/>
                      <w:szCs w:val="18"/>
                    </w:rPr>
                    <w:t>、扩建尾矿库、冶炼渣库和磷石膏库，以提升安全、生态环境保护水平为目的的</w:t>
                  </w:r>
                  <w:r>
                    <w:rPr>
                      <w:rFonts w:hint="eastAsia"/>
                      <w:color w:val="auto"/>
                      <w:sz w:val="18"/>
                      <w:szCs w:val="18"/>
                      <w:lang w:eastAsia="zh-CN"/>
                    </w:rPr>
                    <w:t>技改</w:t>
                  </w:r>
                  <w:r>
                    <w:rPr>
                      <w:color w:val="auto"/>
                      <w:sz w:val="18"/>
                      <w:szCs w:val="18"/>
                    </w:rPr>
                    <w:t>除外。</w:t>
                  </w:r>
                </w:p>
              </w:tc>
              <w:tc>
                <w:tcPr>
                  <w:tcW w:w="1930" w:type="pct"/>
                  <w:noWrap w:val="0"/>
                  <w:vAlign w:val="center"/>
                </w:tcPr>
                <w:p>
                  <w:pPr>
                    <w:adjustRightInd w:val="0"/>
                    <w:snapToGrid w:val="0"/>
                    <w:jc w:val="center"/>
                    <w:rPr>
                      <w:color w:val="auto"/>
                      <w:sz w:val="18"/>
                      <w:szCs w:val="18"/>
                    </w:rPr>
                  </w:pPr>
                  <w:r>
                    <w:rPr>
                      <w:color w:val="auto"/>
                      <w:sz w:val="18"/>
                      <w:szCs w:val="18"/>
                    </w:rPr>
                    <w:t>项目位于</w:t>
                  </w:r>
                  <w:r>
                    <w:rPr>
                      <w:rFonts w:hint="eastAsia"/>
                      <w:color w:val="auto"/>
                      <w:sz w:val="18"/>
                      <w:szCs w:val="18"/>
                      <w:lang w:eastAsia="zh-CN"/>
                    </w:rPr>
                    <w:t>启东经济开发区人民西路3333号</w:t>
                  </w:r>
                  <w:r>
                    <w:rPr>
                      <w:color w:val="auto"/>
                      <w:sz w:val="18"/>
                      <w:szCs w:val="18"/>
                    </w:rPr>
                    <w:t>，不在长江干支流、重要湖泊岸线一公里范围内。</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872" w:hRule="exact"/>
                <w:jc w:val="center"/>
              </w:trPr>
              <w:tc>
                <w:tcPr>
                  <w:tcW w:w="249" w:type="pct"/>
                  <w:noWrap w:val="0"/>
                  <w:vAlign w:val="center"/>
                </w:tcPr>
                <w:p>
                  <w:pPr>
                    <w:adjustRightInd w:val="0"/>
                    <w:snapToGrid w:val="0"/>
                    <w:jc w:val="center"/>
                    <w:rPr>
                      <w:rFonts w:hint="eastAsia"/>
                      <w:color w:val="auto"/>
                      <w:sz w:val="18"/>
                      <w:szCs w:val="18"/>
                    </w:rPr>
                  </w:pPr>
                  <w:r>
                    <w:rPr>
                      <w:rFonts w:hint="eastAsia"/>
                      <w:color w:val="auto"/>
                      <w:sz w:val="18"/>
                      <w:szCs w:val="18"/>
                    </w:rPr>
                    <w:t>9</w:t>
                  </w:r>
                </w:p>
              </w:tc>
              <w:tc>
                <w:tcPr>
                  <w:tcW w:w="2453" w:type="pct"/>
                  <w:noWrap w:val="0"/>
                  <w:vAlign w:val="center"/>
                </w:tcPr>
                <w:p>
                  <w:pPr>
                    <w:adjustRightInd w:val="0"/>
                    <w:snapToGrid w:val="0"/>
                    <w:jc w:val="center"/>
                    <w:rPr>
                      <w:color w:val="auto"/>
                      <w:sz w:val="18"/>
                      <w:szCs w:val="18"/>
                    </w:rPr>
                  </w:pPr>
                  <w:r>
                    <w:rPr>
                      <w:color w:val="auto"/>
                      <w:sz w:val="18"/>
                      <w:szCs w:val="18"/>
                    </w:rPr>
                    <w:t>禁止在合规园区外新建、扩建钢铁、石化、化工、焦化、建材、有色、制浆造纸等高污染项目。</w:t>
                  </w:r>
                </w:p>
              </w:tc>
              <w:tc>
                <w:tcPr>
                  <w:tcW w:w="1930" w:type="pct"/>
                  <w:noWrap w:val="0"/>
                  <w:vAlign w:val="center"/>
                </w:tcPr>
                <w:p>
                  <w:pPr>
                    <w:adjustRightInd w:val="0"/>
                    <w:snapToGrid w:val="0"/>
                    <w:jc w:val="center"/>
                    <w:rPr>
                      <w:rFonts w:hint="eastAsia"/>
                      <w:color w:val="auto"/>
                      <w:sz w:val="18"/>
                      <w:szCs w:val="18"/>
                    </w:rPr>
                  </w:pPr>
                  <w:r>
                    <w:rPr>
                      <w:rFonts w:hint="eastAsia"/>
                      <w:color w:val="auto"/>
                      <w:sz w:val="18"/>
                      <w:szCs w:val="18"/>
                    </w:rPr>
                    <w:t>本项目为C1829其他针织或钩针编织服装制造，不属于高污染物项目</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855" w:hRule="exact"/>
                <w:jc w:val="center"/>
              </w:trPr>
              <w:tc>
                <w:tcPr>
                  <w:tcW w:w="249" w:type="pct"/>
                  <w:noWrap w:val="0"/>
                  <w:vAlign w:val="center"/>
                </w:tcPr>
                <w:p>
                  <w:pPr>
                    <w:adjustRightInd w:val="0"/>
                    <w:snapToGrid w:val="0"/>
                    <w:jc w:val="center"/>
                    <w:rPr>
                      <w:color w:val="auto"/>
                      <w:sz w:val="18"/>
                      <w:szCs w:val="18"/>
                    </w:rPr>
                  </w:pPr>
                  <w:r>
                    <w:rPr>
                      <w:rFonts w:hint="eastAsia"/>
                      <w:color w:val="auto"/>
                      <w:sz w:val="18"/>
                      <w:szCs w:val="18"/>
                    </w:rPr>
                    <w:t>10</w:t>
                  </w:r>
                </w:p>
              </w:tc>
              <w:tc>
                <w:tcPr>
                  <w:tcW w:w="2453" w:type="pct"/>
                  <w:noWrap w:val="0"/>
                  <w:vAlign w:val="center"/>
                </w:tcPr>
                <w:p>
                  <w:pPr>
                    <w:adjustRightInd w:val="0"/>
                    <w:snapToGrid w:val="0"/>
                    <w:jc w:val="center"/>
                    <w:rPr>
                      <w:color w:val="auto"/>
                      <w:sz w:val="18"/>
                      <w:szCs w:val="18"/>
                    </w:rPr>
                  </w:pPr>
                  <w:r>
                    <w:rPr>
                      <w:color w:val="auto"/>
                      <w:sz w:val="18"/>
                      <w:szCs w:val="18"/>
                    </w:rPr>
                    <w:t>禁止新建、扩建不符合国家石化、现代煤化工等产业布局规划的项目。</w:t>
                  </w:r>
                </w:p>
              </w:tc>
              <w:tc>
                <w:tcPr>
                  <w:tcW w:w="1930" w:type="pct"/>
                  <w:noWrap w:val="0"/>
                  <w:vAlign w:val="center"/>
                </w:tcPr>
                <w:p>
                  <w:pPr>
                    <w:adjustRightInd w:val="0"/>
                    <w:snapToGrid w:val="0"/>
                    <w:jc w:val="center"/>
                    <w:rPr>
                      <w:color w:val="auto"/>
                      <w:sz w:val="18"/>
                      <w:szCs w:val="18"/>
                    </w:rPr>
                  </w:pPr>
                  <w:r>
                    <w:rPr>
                      <w:rFonts w:hint="eastAsia"/>
                      <w:color w:val="auto"/>
                      <w:sz w:val="18"/>
                      <w:szCs w:val="18"/>
                    </w:rPr>
                    <w:t>本项目为C1829其他针织或钩针编织服装制造，不涉及高污染项目</w:t>
                  </w:r>
                  <w:r>
                    <w:rPr>
                      <w:color w:val="auto"/>
                      <w:sz w:val="18"/>
                      <w:szCs w:val="18"/>
                    </w:rPr>
                    <w:t>。</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334" w:hRule="exact"/>
                <w:jc w:val="center"/>
              </w:trPr>
              <w:tc>
                <w:tcPr>
                  <w:tcW w:w="249" w:type="pct"/>
                  <w:noWrap w:val="0"/>
                  <w:vAlign w:val="center"/>
                </w:tcPr>
                <w:p>
                  <w:pPr>
                    <w:adjustRightInd w:val="0"/>
                    <w:snapToGrid w:val="0"/>
                    <w:jc w:val="center"/>
                    <w:rPr>
                      <w:color w:val="auto"/>
                      <w:sz w:val="18"/>
                      <w:szCs w:val="18"/>
                    </w:rPr>
                  </w:pPr>
                  <w:r>
                    <w:rPr>
                      <w:rFonts w:hint="eastAsia"/>
                      <w:color w:val="auto"/>
                      <w:sz w:val="18"/>
                      <w:szCs w:val="18"/>
                    </w:rPr>
                    <w:t>11</w:t>
                  </w:r>
                </w:p>
              </w:tc>
              <w:tc>
                <w:tcPr>
                  <w:tcW w:w="2453" w:type="pct"/>
                  <w:noWrap w:val="0"/>
                  <w:vAlign w:val="center"/>
                </w:tcPr>
                <w:p>
                  <w:pPr>
                    <w:adjustRightInd w:val="0"/>
                    <w:snapToGrid w:val="0"/>
                    <w:jc w:val="center"/>
                    <w:rPr>
                      <w:color w:val="auto"/>
                      <w:sz w:val="18"/>
                      <w:szCs w:val="18"/>
                    </w:rPr>
                  </w:pPr>
                  <w:r>
                    <w:rPr>
                      <w:color w:val="auto"/>
                      <w:sz w:val="18"/>
                      <w:szCs w:val="18"/>
                    </w:rPr>
                    <w:t>禁止新建、扩建法律法规和相关政策明令禁止的落后产能项目。禁止新建、扩建不符合国家产能置换要求的严重过剩产能行业的项目。禁止新建、扩建不符合要求的高耗能高排放项目。</w:t>
                  </w:r>
                </w:p>
              </w:tc>
              <w:tc>
                <w:tcPr>
                  <w:tcW w:w="1930" w:type="pct"/>
                  <w:noWrap w:val="0"/>
                  <w:vAlign w:val="center"/>
                </w:tcPr>
                <w:p>
                  <w:pPr>
                    <w:adjustRightInd w:val="0"/>
                    <w:snapToGrid w:val="0"/>
                    <w:jc w:val="center"/>
                    <w:rPr>
                      <w:color w:val="auto"/>
                      <w:sz w:val="18"/>
                      <w:szCs w:val="18"/>
                    </w:rPr>
                  </w:pPr>
                  <w:r>
                    <w:rPr>
                      <w:color w:val="auto"/>
                      <w:sz w:val="18"/>
                      <w:szCs w:val="18"/>
                    </w:rPr>
                    <w:t>项目不属于落后产能、严重过剩产能行业项目。</w:t>
                  </w:r>
                </w:p>
              </w:tc>
              <w:tc>
                <w:tcPr>
                  <w:tcW w:w="367" w:type="pct"/>
                  <w:noWrap w:val="0"/>
                  <w:vAlign w:val="center"/>
                </w:tcPr>
                <w:p>
                  <w:pPr>
                    <w:adjustRightInd w:val="0"/>
                    <w:snapToGrid w:val="0"/>
                    <w:jc w:val="center"/>
                    <w:rPr>
                      <w:color w:val="auto"/>
                      <w:sz w:val="18"/>
                      <w:szCs w:val="18"/>
                    </w:rPr>
                  </w:pPr>
                  <w:r>
                    <w:rPr>
                      <w:color w:val="auto"/>
                      <w:sz w:val="18"/>
                      <w:szCs w:val="18"/>
                    </w:rPr>
                    <w:t>相符</w:t>
                  </w:r>
                </w:p>
              </w:tc>
            </w:tr>
          </w:tbl>
          <w:p>
            <w:pPr>
              <w:spacing w:line="360" w:lineRule="auto"/>
              <w:ind w:firstLine="420" w:firstLineChars="200"/>
              <w:rPr>
                <w:color w:val="auto"/>
                <w:szCs w:val="21"/>
              </w:rPr>
            </w:pPr>
            <w:r>
              <w:rPr>
                <w:color w:val="auto"/>
                <w:szCs w:val="21"/>
              </w:rPr>
              <w:t>B、对照《关于印发&lt;长江经济带发展负面清单指南&gt;（试行，2022年版）</w:t>
            </w:r>
            <w:r>
              <w:rPr>
                <w:rFonts w:hint="eastAsia"/>
                <w:color w:val="auto"/>
                <w:szCs w:val="21"/>
              </w:rPr>
              <w:t>江苏省实施细则的通知</w:t>
            </w:r>
            <w:r>
              <w:rPr>
                <w:color w:val="auto"/>
                <w:szCs w:val="21"/>
              </w:rPr>
              <w:t>》（</w:t>
            </w:r>
            <w:r>
              <w:rPr>
                <w:rFonts w:hint="eastAsia"/>
                <w:color w:val="auto"/>
                <w:szCs w:val="21"/>
              </w:rPr>
              <w:t>苏</w:t>
            </w:r>
            <w:r>
              <w:rPr>
                <w:color w:val="auto"/>
                <w:szCs w:val="21"/>
              </w:rPr>
              <w:t>长江办</w:t>
            </w:r>
            <w:r>
              <w:rPr>
                <w:rFonts w:hint="eastAsia"/>
                <w:color w:val="auto"/>
                <w:szCs w:val="21"/>
              </w:rPr>
              <w:t>发</w:t>
            </w:r>
            <w:r>
              <w:rPr>
                <w:color w:val="auto"/>
                <w:szCs w:val="21"/>
              </w:rPr>
              <w:t>〔2022〕</w:t>
            </w:r>
            <w:r>
              <w:rPr>
                <w:rFonts w:hint="eastAsia"/>
                <w:color w:val="auto"/>
                <w:szCs w:val="21"/>
              </w:rPr>
              <w:t>55</w:t>
            </w:r>
            <w:r>
              <w:rPr>
                <w:color w:val="auto"/>
                <w:szCs w:val="21"/>
              </w:rPr>
              <w:t>号），本项目属于</w:t>
            </w:r>
            <w:r>
              <w:rPr>
                <w:rFonts w:hint="eastAsia"/>
                <w:color w:val="auto"/>
              </w:rPr>
              <w:t>C1829其他针织或钩针编织服装制造</w:t>
            </w:r>
            <w:r>
              <w:rPr>
                <w:color w:val="auto"/>
                <w:szCs w:val="21"/>
              </w:rPr>
              <w:t>，不在长江经济带发展负面清单指南</w:t>
            </w:r>
            <w:r>
              <w:rPr>
                <w:rFonts w:hint="eastAsia"/>
                <w:color w:val="auto"/>
                <w:szCs w:val="21"/>
              </w:rPr>
              <w:t>江苏省实施细则条款</w:t>
            </w:r>
            <w:r>
              <w:rPr>
                <w:color w:val="auto"/>
                <w:szCs w:val="21"/>
              </w:rPr>
              <w:t>提出的禁止范畴内，因此符合指导意见要求。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1"/>
                <w:szCs w:val="21"/>
              </w:rPr>
            </w:pPr>
            <w:r>
              <w:rPr>
                <w:b/>
                <w:bCs/>
                <w:color w:val="auto"/>
                <w:sz w:val="21"/>
                <w:szCs w:val="21"/>
              </w:rPr>
              <w:t>表1-</w:t>
            </w:r>
            <w:r>
              <w:rPr>
                <w:rFonts w:hint="eastAsia"/>
                <w:b/>
                <w:bCs/>
                <w:color w:val="auto"/>
                <w:sz w:val="21"/>
                <w:szCs w:val="21"/>
                <w:lang w:val="en-US" w:eastAsia="zh-CN"/>
              </w:rPr>
              <w:t>9</w:t>
            </w:r>
            <w:r>
              <w:rPr>
                <w:b/>
                <w:bCs/>
                <w:color w:val="auto"/>
                <w:sz w:val="21"/>
                <w:szCs w:val="21"/>
              </w:rPr>
              <w:t>与《&lt;长江经济带发展负面清单指南&gt;江苏省实施细则(试行)》相符性分析</w:t>
            </w:r>
          </w:p>
          <w:tbl>
            <w:tblPr>
              <w:tblStyle w:val="11"/>
              <w:tblW w:w="71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6"/>
              <w:gridCol w:w="4398"/>
              <w:gridCol w:w="1595"/>
              <w:gridCol w:w="6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dxa"/>
                  <w:noWrap w:val="0"/>
                  <w:vAlign w:val="center"/>
                </w:tcPr>
                <w:p>
                  <w:pPr>
                    <w:adjustRightInd w:val="0"/>
                    <w:snapToGrid w:val="0"/>
                    <w:jc w:val="center"/>
                    <w:rPr>
                      <w:b/>
                      <w:bCs/>
                      <w:color w:val="auto"/>
                      <w:sz w:val="18"/>
                      <w:szCs w:val="18"/>
                    </w:rPr>
                  </w:pPr>
                  <w:r>
                    <w:rPr>
                      <w:b/>
                      <w:bCs/>
                      <w:color w:val="auto"/>
                      <w:sz w:val="18"/>
                      <w:szCs w:val="18"/>
                    </w:rPr>
                    <w:t>序号</w:t>
                  </w:r>
                </w:p>
              </w:tc>
              <w:tc>
                <w:tcPr>
                  <w:tcW w:w="4398" w:type="dxa"/>
                  <w:noWrap w:val="0"/>
                  <w:vAlign w:val="center"/>
                </w:tcPr>
                <w:p>
                  <w:pPr>
                    <w:adjustRightInd w:val="0"/>
                    <w:snapToGrid w:val="0"/>
                    <w:jc w:val="center"/>
                    <w:rPr>
                      <w:b/>
                      <w:bCs/>
                      <w:color w:val="auto"/>
                      <w:sz w:val="18"/>
                      <w:szCs w:val="18"/>
                    </w:rPr>
                  </w:pPr>
                  <w:r>
                    <w:rPr>
                      <w:b/>
                      <w:bCs/>
                      <w:color w:val="auto"/>
                      <w:sz w:val="18"/>
                      <w:szCs w:val="18"/>
                    </w:rPr>
                    <w:t>管控条款</w:t>
                  </w:r>
                </w:p>
              </w:tc>
              <w:tc>
                <w:tcPr>
                  <w:tcW w:w="1595" w:type="dxa"/>
                  <w:noWrap w:val="0"/>
                  <w:vAlign w:val="center"/>
                </w:tcPr>
                <w:p>
                  <w:pPr>
                    <w:adjustRightInd w:val="0"/>
                    <w:snapToGrid w:val="0"/>
                    <w:jc w:val="center"/>
                    <w:rPr>
                      <w:b/>
                      <w:bCs/>
                      <w:color w:val="auto"/>
                      <w:sz w:val="18"/>
                      <w:szCs w:val="18"/>
                    </w:rPr>
                  </w:pPr>
                  <w:r>
                    <w:rPr>
                      <w:b/>
                      <w:bCs/>
                      <w:color w:val="auto"/>
                      <w:sz w:val="18"/>
                      <w:szCs w:val="18"/>
                    </w:rPr>
                    <w:t>本项目情况</w:t>
                  </w:r>
                </w:p>
              </w:tc>
              <w:tc>
                <w:tcPr>
                  <w:tcW w:w="690" w:type="dxa"/>
                  <w:noWrap w:val="0"/>
                  <w:vAlign w:val="center"/>
                </w:tcPr>
                <w:p>
                  <w:pPr>
                    <w:adjustRightInd w:val="0"/>
                    <w:snapToGrid w:val="0"/>
                    <w:jc w:val="center"/>
                    <w:rPr>
                      <w:b/>
                      <w:bCs/>
                      <w:color w:val="auto"/>
                      <w:sz w:val="18"/>
                      <w:szCs w:val="18"/>
                    </w:rPr>
                  </w:pPr>
                  <w:r>
                    <w:rPr>
                      <w:b/>
                      <w:bCs/>
                      <w:color w:val="auto"/>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119" w:type="dxa"/>
                  <w:gridSpan w:val="4"/>
                  <w:noWrap w:val="0"/>
                  <w:vAlign w:val="center"/>
                </w:tcPr>
                <w:p>
                  <w:pPr>
                    <w:adjustRightInd w:val="0"/>
                    <w:snapToGrid w:val="0"/>
                    <w:jc w:val="center"/>
                    <w:rPr>
                      <w:b/>
                      <w:bCs/>
                      <w:color w:val="auto"/>
                      <w:sz w:val="18"/>
                      <w:szCs w:val="18"/>
                    </w:rPr>
                  </w:pPr>
                  <w:r>
                    <w:rPr>
                      <w:rFonts w:hint="eastAsia"/>
                      <w:b/>
                      <w:bCs/>
                      <w:color w:val="auto"/>
                      <w:sz w:val="18"/>
                      <w:szCs w:val="18"/>
                    </w:rPr>
                    <w:t>一、河段利用与岸线开发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436" w:type="dxa"/>
                  <w:noWrap w:val="0"/>
                  <w:vAlign w:val="center"/>
                </w:tcPr>
                <w:p>
                  <w:pPr>
                    <w:jc w:val="center"/>
                    <w:rPr>
                      <w:rFonts w:hint="eastAsia"/>
                      <w:color w:val="auto"/>
                      <w:sz w:val="18"/>
                      <w:szCs w:val="18"/>
                    </w:rPr>
                  </w:pPr>
                  <w:r>
                    <w:rPr>
                      <w:rFonts w:hint="eastAsia"/>
                      <w:color w:val="auto"/>
                      <w:sz w:val="18"/>
                      <w:szCs w:val="18"/>
                    </w:rPr>
                    <w:t>1</w:t>
                  </w:r>
                </w:p>
              </w:tc>
              <w:tc>
                <w:tcPr>
                  <w:tcW w:w="4398" w:type="dxa"/>
                  <w:noWrap w:val="0"/>
                  <w:vAlign w:val="center"/>
                </w:tcPr>
                <w:p>
                  <w:pPr>
                    <w:jc w:val="left"/>
                    <w:rPr>
                      <w:color w:val="auto"/>
                      <w:sz w:val="18"/>
                      <w:szCs w:val="18"/>
                    </w:rPr>
                  </w:pPr>
                  <w:r>
                    <w:rPr>
                      <w:color w:val="auto"/>
                      <w:sz w:val="18"/>
                      <w:szCs w:val="18"/>
                    </w:rPr>
                    <w:t>禁止建设不符合国家港口布局规划和《江苏省沿江沿海港口布局规划（2015-2030年）》《江苏省内河港口布局规划（2017-2035年）》以及我省有关港口总体规划的码头项目，禁止建设未纳入《长江干线过江通道布局规划》的过长江通道项目。</w:t>
                  </w:r>
                </w:p>
              </w:tc>
              <w:tc>
                <w:tcPr>
                  <w:tcW w:w="1595" w:type="dxa"/>
                  <w:noWrap w:val="0"/>
                  <w:vAlign w:val="center"/>
                </w:tcPr>
                <w:p>
                  <w:pPr>
                    <w:rPr>
                      <w:color w:val="auto"/>
                      <w:sz w:val="18"/>
                      <w:szCs w:val="18"/>
                    </w:rPr>
                  </w:pPr>
                  <w:r>
                    <w:rPr>
                      <w:rFonts w:hint="eastAsia"/>
                      <w:color w:val="auto"/>
                      <w:sz w:val="18"/>
                      <w:szCs w:val="18"/>
                    </w:rPr>
                    <w:t>项目</w:t>
                  </w:r>
                  <w:r>
                    <w:rPr>
                      <w:color w:val="auto"/>
                      <w:sz w:val="18"/>
                      <w:szCs w:val="18"/>
                    </w:rPr>
                    <w:t>不属于码头及过长江干线通道项目。</w:t>
                  </w:r>
                </w:p>
              </w:tc>
              <w:tc>
                <w:tcPr>
                  <w:tcW w:w="690" w:type="dxa"/>
                  <w:noWrap w:val="0"/>
                  <w:vAlign w:val="center"/>
                </w:tcPr>
                <w:p>
                  <w:pPr>
                    <w:jc w:val="center"/>
                    <w:rPr>
                      <w:rFonts w:hint="eastAsia"/>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436" w:type="dxa"/>
                  <w:noWrap w:val="0"/>
                  <w:vAlign w:val="center"/>
                </w:tcPr>
                <w:p>
                  <w:pPr>
                    <w:jc w:val="center"/>
                    <w:rPr>
                      <w:rFonts w:hint="eastAsia"/>
                      <w:color w:val="auto"/>
                      <w:sz w:val="18"/>
                      <w:szCs w:val="18"/>
                    </w:rPr>
                  </w:pPr>
                  <w:r>
                    <w:rPr>
                      <w:rFonts w:hint="eastAsia"/>
                      <w:color w:val="auto"/>
                      <w:sz w:val="18"/>
                      <w:szCs w:val="18"/>
                    </w:rPr>
                    <w:t>2</w:t>
                  </w:r>
                </w:p>
              </w:tc>
              <w:tc>
                <w:tcPr>
                  <w:tcW w:w="4398" w:type="dxa"/>
                  <w:noWrap w:val="0"/>
                  <w:vAlign w:val="center"/>
                </w:tcPr>
                <w:p>
                  <w:pPr>
                    <w:rPr>
                      <w:color w:val="auto"/>
                      <w:sz w:val="18"/>
                      <w:szCs w:val="18"/>
                    </w:rPr>
                  </w:pPr>
                  <w:r>
                    <w:rPr>
                      <w:color w:val="auto"/>
                      <w:sz w:val="18"/>
                      <w:szCs w:val="18"/>
                    </w:rPr>
                    <w:t>严格执行《中华人民共和国自然保护区条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w:t>
                  </w:r>
                </w:p>
              </w:tc>
              <w:tc>
                <w:tcPr>
                  <w:tcW w:w="1595" w:type="dxa"/>
                  <w:noWrap w:val="0"/>
                  <w:vAlign w:val="center"/>
                </w:tcPr>
                <w:p>
                  <w:pPr>
                    <w:adjustRightInd w:val="0"/>
                    <w:snapToGrid w:val="0"/>
                    <w:rPr>
                      <w:color w:val="auto"/>
                      <w:sz w:val="18"/>
                      <w:szCs w:val="18"/>
                    </w:rPr>
                  </w:pPr>
                  <w:r>
                    <w:rPr>
                      <w:color w:val="auto"/>
                      <w:sz w:val="18"/>
                      <w:szCs w:val="18"/>
                    </w:rPr>
                    <w:t>项目位于</w:t>
                  </w:r>
                  <w:r>
                    <w:rPr>
                      <w:rFonts w:hint="eastAsia"/>
                      <w:color w:val="auto"/>
                      <w:sz w:val="18"/>
                      <w:szCs w:val="18"/>
                      <w:lang w:eastAsia="zh-CN"/>
                    </w:rPr>
                    <w:t>启东经济开发区人民西路3333号</w:t>
                  </w:r>
                  <w:r>
                    <w:rPr>
                      <w:color w:val="auto"/>
                      <w:sz w:val="18"/>
                      <w:szCs w:val="18"/>
                    </w:rPr>
                    <w:t>，</w:t>
                  </w:r>
                  <w:r>
                    <w:rPr>
                      <w:rFonts w:hint="eastAsia"/>
                      <w:color w:val="auto"/>
                      <w:sz w:val="18"/>
                      <w:szCs w:val="18"/>
                    </w:rPr>
                    <w:t>本项目不涉及自然保护区和省级风景名胜区。</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436" w:type="dxa"/>
                  <w:noWrap w:val="0"/>
                  <w:vAlign w:val="center"/>
                </w:tcPr>
                <w:p>
                  <w:pPr>
                    <w:jc w:val="center"/>
                    <w:rPr>
                      <w:color w:val="auto"/>
                      <w:sz w:val="18"/>
                      <w:szCs w:val="18"/>
                    </w:rPr>
                  </w:pPr>
                  <w:r>
                    <w:rPr>
                      <w:rFonts w:hint="eastAsia"/>
                      <w:color w:val="auto"/>
                      <w:sz w:val="18"/>
                      <w:szCs w:val="18"/>
                    </w:rPr>
                    <w:t>3</w:t>
                  </w:r>
                </w:p>
              </w:tc>
              <w:tc>
                <w:tcPr>
                  <w:tcW w:w="4398" w:type="dxa"/>
                  <w:noWrap w:val="0"/>
                  <w:vAlign w:val="center"/>
                </w:tcPr>
                <w:p>
                  <w:pPr>
                    <w:rPr>
                      <w:color w:val="auto"/>
                      <w:sz w:val="18"/>
                      <w:szCs w:val="18"/>
                    </w:rPr>
                  </w:pPr>
                  <w:r>
                    <w:rPr>
                      <w:color w:val="auto"/>
                      <w:sz w:val="18"/>
                      <w:szCs w:val="18"/>
                    </w:rPr>
                    <w:t>严格执行《中华人民共和国水污染防治法》《江苏省人民代表大会常务委员会关于加强饮用水源地保护的决定》</w:t>
                  </w:r>
                  <w:r>
                    <w:rPr>
                      <w:rFonts w:hint="eastAsia"/>
                      <w:color w:val="auto"/>
                      <w:sz w:val="18"/>
                      <w:szCs w:val="18"/>
                    </w:rPr>
                    <w:t>《江苏省水污染防治条例》</w:t>
                  </w:r>
                  <w:r>
                    <w:rPr>
                      <w:color w:val="auto"/>
                      <w:sz w:val="18"/>
                      <w:szCs w:val="18"/>
                    </w:rPr>
                    <w:t>，禁止在饮用水水源一级保护区的岸线和河段范围内新建、</w:t>
                  </w:r>
                  <w:r>
                    <w:rPr>
                      <w:rFonts w:hint="eastAsia"/>
                      <w:color w:val="auto"/>
                      <w:sz w:val="18"/>
                      <w:szCs w:val="18"/>
                      <w:lang w:eastAsia="zh-CN"/>
                    </w:rPr>
                    <w:t>技改</w:t>
                  </w:r>
                  <w:r>
                    <w:rPr>
                      <w:color w:val="auto"/>
                      <w:sz w:val="18"/>
                      <w:szCs w:val="18"/>
                    </w:rPr>
                    <w:t>、扩建与供水设施和保护水源无关的项目，以及网箱养殖、</w:t>
                  </w:r>
                  <w:r>
                    <w:rPr>
                      <w:rFonts w:hint="eastAsia"/>
                      <w:color w:val="auto"/>
                      <w:sz w:val="18"/>
                      <w:szCs w:val="18"/>
                    </w:rPr>
                    <w:t>畜禽养殖、</w:t>
                  </w:r>
                  <w:r>
                    <w:rPr>
                      <w:color w:val="auto"/>
                      <w:sz w:val="18"/>
                      <w:szCs w:val="18"/>
                    </w:rPr>
                    <w:t>旅游等可能污染饮用水水体的投资建设项目；禁止在饮用水水源二级保护区的岸线和河段范围内新建、</w:t>
                  </w:r>
                  <w:r>
                    <w:rPr>
                      <w:rFonts w:hint="eastAsia"/>
                      <w:color w:val="auto"/>
                      <w:sz w:val="18"/>
                      <w:szCs w:val="18"/>
                      <w:lang w:eastAsia="zh-CN"/>
                    </w:rPr>
                    <w:t>技改</w:t>
                  </w:r>
                  <w:r>
                    <w:rPr>
                      <w:color w:val="auto"/>
                      <w:sz w:val="18"/>
                      <w:szCs w:val="18"/>
                    </w:rPr>
                    <w:t>、扩建排放污染物的投资建设项目</w:t>
                  </w:r>
                  <w:r>
                    <w:rPr>
                      <w:rFonts w:hint="eastAsia"/>
                      <w:color w:val="auto"/>
                      <w:sz w:val="18"/>
                      <w:szCs w:val="18"/>
                    </w:rPr>
                    <w:t>；禁止在饮用水水源准保护区的岸线和河道范围内新建、扩建对水体污染严重的投资建设项目，</w:t>
                  </w:r>
                  <w:r>
                    <w:rPr>
                      <w:rFonts w:hint="eastAsia"/>
                      <w:color w:val="auto"/>
                      <w:sz w:val="18"/>
                      <w:szCs w:val="18"/>
                      <w:lang w:eastAsia="zh-CN"/>
                    </w:rPr>
                    <w:t>技改</w:t>
                  </w:r>
                  <w:r>
                    <w:rPr>
                      <w:rFonts w:hint="eastAsia"/>
                      <w:color w:val="auto"/>
                      <w:sz w:val="18"/>
                      <w:szCs w:val="18"/>
                    </w:rPr>
                    <w:t>项目应当消减排污量。</w:t>
                  </w:r>
                </w:p>
              </w:tc>
              <w:tc>
                <w:tcPr>
                  <w:tcW w:w="1595" w:type="dxa"/>
                  <w:noWrap w:val="0"/>
                  <w:vAlign w:val="center"/>
                </w:tcPr>
                <w:p>
                  <w:pPr>
                    <w:adjustRightInd w:val="0"/>
                    <w:snapToGrid w:val="0"/>
                    <w:rPr>
                      <w:color w:val="auto"/>
                      <w:sz w:val="18"/>
                      <w:szCs w:val="18"/>
                    </w:rPr>
                  </w:pPr>
                  <w:r>
                    <w:rPr>
                      <w:rFonts w:hint="eastAsia"/>
                      <w:color w:val="auto"/>
                      <w:sz w:val="18"/>
                      <w:szCs w:val="18"/>
                    </w:rPr>
                    <w:t>本项目不在国家级生态红线区域内</w:t>
                  </w:r>
                  <w:r>
                    <w:rPr>
                      <w:color w:val="auto"/>
                      <w:sz w:val="18"/>
                      <w:szCs w:val="18"/>
                    </w:rPr>
                    <w:t>。</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36" w:type="dxa"/>
                  <w:noWrap w:val="0"/>
                  <w:vAlign w:val="center"/>
                </w:tcPr>
                <w:p>
                  <w:pPr>
                    <w:jc w:val="center"/>
                    <w:rPr>
                      <w:color w:val="auto"/>
                      <w:sz w:val="18"/>
                      <w:szCs w:val="18"/>
                    </w:rPr>
                  </w:pPr>
                  <w:r>
                    <w:rPr>
                      <w:rFonts w:hint="eastAsia"/>
                      <w:color w:val="auto"/>
                      <w:sz w:val="18"/>
                      <w:szCs w:val="18"/>
                    </w:rPr>
                    <w:t>4</w:t>
                  </w:r>
                </w:p>
              </w:tc>
              <w:tc>
                <w:tcPr>
                  <w:tcW w:w="4398" w:type="dxa"/>
                  <w:noWrap w:val="0"/>
                  <w:vAlign w:val="center"/>
                </w:tcPr>
                <w:p>
                  <w:pPr>
                    <w:rPr>
                      <w:color w:val="auto"/>
                      <w:sz w:val="18"/>
                      <w:szCs w:val="18"/>
                    </w:rPr>
                  </w:pPr>
                  <w:r>
                    <w:rPr>
                      <w:rFonts w:hint="eastAsia"/>
                      <w:color w:val="auto"/>
                      <w:sz w:val="18"/>
                      <w:szCs w:val="18"/>
                    </w:rPr>
                    <w:t>严格执行《水产种质资源保护区管理暂行办法》，禁止在国家级和省级水产种质资源保护区的岸线和河段范围内新建排污口，以及围湖造田、围海造地或围填海等投资建设项目。严格执行《中华人民共和国湿地保护法》《江苏省湿地保护条例》，禁止在国家湿地公园的岸线和河段范围内挖沙、采矿，以及任何不符合主体功能定位的投资建设项目。</w:t>
                  </w:r>
                </w:p>
              </w:tc>
              <w:tc>
                <w:tcPr>
                  <w:tcW w:w="1595" w:type="dxa"/>
                  <w:noWrap w:val="0"/>
                  <w:vAlign w:val="center"/>
                </w:tcPr>
                <w:p>
                  <w:pPr>
                    <w:adjustRightInd w:val="0"/>
                    <w:snapToGrid w:val="0"/>
                    <w:rPr>
                      <w:color w:val="auto"/>
                      <w:sz w:val="18"/>
                      <w:szCs w:val="18"/>
                    </w:rPr>
                  </w:pPr>
                  <w:r>
                    <w:rPr>
                      <w:rFonts w:hint="eastAsia"/>
                      <w:color w:val="auto"/>
                      <w:sz w:val="18"/>
                      <w:szCs w:val="18"/>
                    </w:rPr>
                    <w:t>项目所在区域不在国家级或省级水产种质资源保护区范围内，也不在国家湿地公园的岸线和河段范围内。</w:t>
                  </w:r>
                </w:p>
                <w:p>
                  <w:pPr>
                    <w:adjustRightInd w:val="0"/>
                    <w:snapToGrid w:val="0"/>
                    <w:rPr>
                      <w:color w:val="auto"/>
                      <w:sz w:val="18"/>
                      <w:szCs w:val="18"/>
                    </w:rPr>
                  </w:pP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6" w:type="dxa"/>
                  <w:noWrap w:val="0"/>
                  <w:vAlign w:val="center"/>
                </w:tcPr>
                <w:p>
                  <w:pPr>
                    <w:jc w:val="center"/>
                    <w:rPr>
                      <w:color w:val="auto"/>
                      <w:sz w:val="18"/>
                      <w:szCs w:val="18"/>
                    </w:rPr>
                  </w:pPr>
                  <w:r>
                    <w:rPr>
                      <w:rFonts w:hint="eastAsia"/>
                      <w:color w:val="auto"/>
                      <w:sz w:val="18"/>
                      <w:szCs w:val="18"/>
                    </w:rPr>
                    <w:t>5</w:t>
                  </w:r>
                </w:p>
              </w:tc>
              <w:tc>
                <w:tcPr>
                  <w:tcW w:w="4398" w:type="dxa"/>
                  <w:noWrap w:val="0"/>
                  <w:vAlign w:val="center"/>
                </w:tcPr>
                <w:p>
                  <w:pPr>
                    <w:rPr>
                      <w:color w:val="auto"/>
                      <w:sz w:val="18"/>
                      <w:szCs w:val="18"/>
                    </w:rPr>
                  </w:pPr>
                  <w:r>
                    <w:rPr>
                      <w:rFonts w:hint="eastAsia"/>
                      <w:color w:val="auto"/>
                      <w:sz w:val="18"/>
                      <w:szCs w:val="18"/>
                    </w:rPr>
                    <w:t>禁止违法利用、占用长江流域河湖岸线。</w:t>
                  </w:r>
                  <w:r>
                    <w:rPr>
                      <w:color w:val="auto"/>
                      <w:sz w:val="18"/>
                      <w:szCs w:val="18"/>
                    </w:rPr>
                    <w:t>禁止在《长江岸线保护和开发利用总体规划》划定的岸线保护区</w:t>
                  </w:r>
                  <w:r>
                    <w:rPr>
                      <w:rFonts w:hint="eastAsia"/>
                      <w:color w:val="auto"/>
                      <w:sz w:val="18"/>
                      <w:szCs w:val="18"/>
                    </w:rPr>
                    <w:t>和保留区</w:t>
                  </w:r>
                  <w:r>
                    <w:rPr>
                      <w:color w:val="auto"/>
                      <w:sz w:val="18"/>
                      <w:szCs w:val="18"/>
                    </w:rPr>
                    <w:t>内投资建设除</w:t>
                  </w:r>
                  <w:r>
                    <w:rPr>
                      <w:rFonts w:hint="eastAsia"/>
                      <w:color w:val="auto"/>
                      <w:sz w:val="18"/>
                      <w:szCs w:val="18"/>
                    </w:rPr>
                    <w:t>事关公共安全及公共利益的防洪护岸、河道治理、供水、生态环境保护、航道整治、国家重要基础设施以外的项目</w:t>
                  </w:r>
                  <w:r>
                    <w:rPr>
                      <w:color w:val="auto"/>
                      <w:sz w:val="18"/>
                      <w:szCs w:val="18"/>
                    </w:rPr>
                    <w:t>。长江干支流基础设施项目应按照《长江岸线保护和开发利用总体规划》和生态环境保护、岸线保护等要求，按规定开展项目前期论证并办理相关手续。禁止在《全国重要江河湖泊水功能区划》划定的河段</w:t>
                  </w:r>
                  <w:r>
                    <w:rPr>
                      <w:rFonts w:hint="eastAsia"/>
                      <w:color w:val="auto"/>
                      <w:sz w:val="18"/>
                      <w:szCs w:val="18"/>
                    </w:rPr>
                    <w:t>及湖泊</w:t>
                  </w:r>
                  <w:r>
                    <w:rPr>
                      <w:color w:val="auto"/>
                      <w:sz w:val="18"/>
                      <w:szCs w:val="18"/>
                    </w:rPr>
                    <w:t>保护区、保留区内投资建设不利于水资源及自然生态保护的项目。</w:t>
                  </w:r>
                </w:p>
              </w:tc>
              <w:tc>
                <w:tcPr>
                  <w:tcW w:w="1595" w:type="dxa"/>
                  <w:noWrap w:val="0"/>
                  <w:vAlign w:val="center"/>
                </w:tcPr>
                <w:p>
                  <w:pPr>
                    <w:adjustRightInd w:val="0"/>
                    <w:snapToGrid w:val="0"/>
                    <w:rPr>
                      <w:color w:val="auto"/>
                      <w:sz w:val="18"/>
                      <w:szCs w:val="18"/>
                    </w:rPr>
                  </w:pPr>
                  <w:r>
                    <w:rPr>
                      <w:rFonts w:hint="eastAsia"/>
                      <w:color w:val="auto"/>
                      <w:sz w:val="18"/>
                      <w:szCs w:val="18"/>
                    </w:rPr>
                    <w:t>本项目不涉及长江、河湖泊水功能区区划的范围内</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36" w:type="dxa"/>
                  <w:noWrap w:val="0"/>
                  <w:vAlign w:val="center"/>
                </w:tcPr>
                <w:p>
                  <w:pPr>
                    <w:jc w:val="center"/>
                    <w:rPr>
                      <w:color w:val="auto"/>
                      <w:sz w:val="18"/>
                      <w:szCs w:val="18"/>
                    </w:rPr>
                  </w:pPr>
                  <w:r>
                    <w:rPr>
                      <w:rFonts w:hint="eastAsia"/>
                      <w:color w:val="auto"/>
                      <w:sz w:val="18"/>
                      <w:szCs w:val="18"/>
                    </w:rPr>
                    <w:t>6</w:t>
                  </w:r>
                </w:p>
              </w:tc>
              <w:tc>
                <w:tcPr>
                  <w:tcW w:w="4398" w:type="dxa"/>
                  <w:noWrap w:val="0"/>
                  <w:vAlign w:val="center"/>
                </w:tcPr>
                <w:p>
                  <w:pPr>
                    <w:rPr>
                      <w:color w:val="auto"/>
                      <w:sz w:val="18"/>
                      <w:szCs w:val="18"/>
                    </w:rPr>
                  </w:pPr>
                  <w:r>
                    <w:rPr>
                      <w:rFonts w:hint="eastAsia"/>
                      <w:color w:val="auto"/>
                      <w:sz w:val="18"/>
                      <w:szCs w:val="18"/>
                    </w:rPr>
                    <w:t>禁止未经许可在长江干支流及湖泊新设、改设或扩大排污口。</w:t>
                  </w:r>
                </w:p>
              </w:tc>
              <w:tc>
                <w:tcPr>
                  <w:tcW w:w="1595" w:type="dxa"/>
                  <w:noWrap w:val="0"/>
                  <w:vAlign w:val="center"/>
                </w:tcPr>
                <w:p>
                  <w:pPr>
                    <w:rPr>
                      <w:color w:val="auto"/>
                      <w:sz w:val="18"/>
                      <w:szCs w:val="18"/>
                    </w:rPr>
                  </w:pPr>
                  <w:r>
                    <w:rPr>
                      <w:rFonts w:hint="eastAsia"/>
                      <w:color w:val="auto"/>
                      <w:sz w:val="18"/>
                      <w:szCs w:val="18"/>
                    </w:rPr>
                    <w:t>本项目不涉及长江、河湖泊水功能区区划的范围内</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9" w:type="dxa"/>
                  <w:gridSpan w:val="4"/>
                  <w:noWrap w:val="0"/>
                  <w:vAlign w:val="center"/>
                </w:tcPr>
                <w:p>
                  <w:pPr>
                    <w:jc w:val="center"/>
                    <w:rPr>
                      <w:color w:val="auto"/>
                      <w:sz w:val="18"/>
                      <w:szCs w:val="18"/>
                    </w:rPr>
                  </w:pPr>
                  <w:r>
                    <w:rPr>
                      <w:rFonts w:hint="eastAsia"/>
                      <w:b/>
                      <w:bCs/>
                      <w:color w:val="auto"/>
                      <w:sz w:val="18"/>
                      <w:szCs w:val="18"/>
                    </w:rPr>
                    <w:t>二、区域活动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36" w:type="dxa"/>
                  <w:noWrap w:val="0"/>
                  <w:vAlign w:val="center"/>
                </w:tcPr>
                <w:p>
                  <w:pPr>
                    <w:jc w:val="center"/>
                    <w:rPr>
                      <w:color w:val="auto"/>
                      <w:sz w:val="18"/>
                      <w:szCs w:val="18"/>
                    </w:rPr>
                  </w:pPr>
                  <w:r>
                    <w:rPr>
                      <w:rFonts w:hint="eastAsia"/>
                      <w:color w:val="auto"/>
                      <w:sz w:val="18"/>
                      <w:szCs w:val="18"/>
                    </w:rPr>
                    <w:t>7</w:t>
                  </w:r>
                </w:p>
              </w:tc>
              <w:tc>
                <w:tcPr>
                  <w:tcW w:w="4398" w:type="dxa"/>
                  <w:noWrap w:val="0"/>
                  <w:vAlign w:val="center"/>
                </w:tcPr>
                <w:p>
                  <w:pPr>
                    <w:rPr>
                      <w:color w:val="auto"/>
                      <w:sz w:val="18"/>
                      <w:szCs w:val="18"/>
                    </w:rPr>
                  </w:pPr>
                  <w:r>
                    <w:rPr>
                      <w:rFonts w:hint="eastAsia"/>
                      <w:color w:val="auto"/>
                      <w:sz w:val="18"/>
                      <w:szCs w:val="18"/>
                    </w:rPr>
                    <w:t>禁止长江干流、长江口、34个列入《率先全面禁捕的长江流域水生生物保护区名录》的水生生物保护区以及省规定的其他禁渔水域开展生产性捕捞。</w:t>
                  </w:r>
                </w:p>
              </w:tc>
              <w:tc>
                <w:tcPr>
                  <w:tcW w:w="1595" w:type="dxa"/>
                  <w:noWrap w:val="0"/>
                  <w:vAlign w:val="center"/>
                </w:tcPr>
                <w:p>
                  <w:pPr>
                    <w:rPr>
                      <w:color w:val="auto"/>
                      <w:sz w:val="18"/>
                      <w:szCs w:val="18"/>
                    </w:rPr>
                  </w:pPr>
                  <w:r>
                    <w:rPr>
                      <w:color w:val="auto"/>
                      <w:sz w:val="18"/>
                      <w:szCs w:val="18"/>
                    </w:rPr>
                    <w:t>项目不涉及生产性捕捞。</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36" w:type="dxa"/>
                  <w:noWrap w:val="0"/>
                  <w:vAlign w:val="center"/>
                </w:tcPr>
                <w:p>
                  <w:pPr>
                    <w:jc w:val="center"/>
                    <w:rPr>
                      <w:color w:val="auto"/>
                      <w:sz w:val="18"/>
                      <w:szCs w:val="18"/>
                    </w:rPr>
                  </w:pPr>
                  <w:r>
                    <w:rPr>
                      <w:rFonts w:hint="eastAsia"/>
                      <w:color w:val="auto"/>
                      <w:sz w:val="18"/>
                      <w:szCs w:val="18"/>
                    </w:rPr>
                    <w:t>8</w:t>
                  </w:r>
                </w:p>
              </w:tc>
              <w:tc>
                <w:tcPr>
                  <w:tcW w:w="4398" w:type="dxa"/>
                  <w:noWrap w:val="0"/>
                  <w:vAlign w:val="center"/>
                </w:tcPr>
                <w:p>
                  <w:pPr>
                    <w:rPr>
                      <w:color w:val="auto"/>
                      <w:sz w:val="18"/>
                      <w:szCs w:val="18"/>
                    </w:rPr>
                  </w:pPr>
                  <w:r>
                    <w:rPr>
                      <w:rFonts w:hint="eastAsia"/>
                      <w:color w:val="auto"/>
                      <w:sz w:val="18"/>
                      <w:szCs w:val="18"/>
                    </w:rPr>
                    <w:t>禁止在距离长江干支流岸线一公里范围内新建、扩建化工园区和化工项目。长江干支流一公里按照长江干支流岸线边界（即水利部门河道管理范围边界）向陆域纵深一公里执行。</w:t>
                  </w:r>
                </w:p>
              </w:tc>
              <w:tc>
                <w:tcPr>
                  <w:tcW w:w="1595" w:type="dxa"/>
                  <w:noWrap w:val="0"/>
                  <w:vAlign w:val="center"/>
                </w:tcPr>
                <w:p>
                  <w:pPr>
                    <w:rPr>
                      <w:color w:val="auto"/>
                      <w:sz w:val="18"/>
                      <w:szCs w:val="18"/>
                    </w:rPr>
                  </w:pPr>
                  <w:r>
                    <w:rPr>
                      <w:color w:val="auto"/>
                      <w:sz w:val="18"/>
                      <w:szCs w:val="18"/>
                    </w:rPr>
                    <w:t>项目位于</w:t>
                  </w:r>
                  <w:r>
                    <w:rPr>
                      <w:rFonts w:hint="eastAsia"/>
                      <w:color w:val="auto"/>
                      <w:sz w:val="18"/>
                      <w:szCs w:val="18"/>
                      <w:lang w:eastAsia="zh-CN"/>
                    </w:rPr>
                    <w:t>启东经济开发区人民西路3333号</w:t>
                  </w:r>
                  <w:r>
                    <w:rPr>
                      <w:color w:val="auto"/>
                      <w:sz w:val="18"/>
                      <w:szCs w:val="18"/>
                    </w:rPr>
                    <w:t>，不在长江干支流、重要湖泊岸线一公里范围内。</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36" w:type="dxa"/>
                  <w:noWrap w:val="0"/>
                  <w:vAlign w:val="center"/>
                </w:tcPr>
                <w:p>
                  <w:pPr>
                    <w:jc w:val="center"/>
                    <w:rPr>
                      <w:color w:val="auto"/>
                      <w:sz w:val="18"/>
                      <w:szCs w:val="18"/>
                    </w:rPr>
                  </w:pPr>
                  <w:r>
                    <w:rPr>
                      <w:rFonts w:hint="eastAsia"/>
                      <w:color w:val="auto"/>
                      <w:sz w:val="18"/>
                      <w:szCs w:val="18"/>
                    </w:rPr>
                    <w:t>9</w:t>
                  </w:r>
                </w:p>
              </w:tc>
              <w:tc>
                <w:tcPr>
                  <w:tcW w:w="4398" w:type="dxa"/>
                  <w:noWrap w:val="0"/>
                  <w:vAlign w:val="center"/>
                </w:tcPr>
                <w:p>
                  <w:pPr>
                    <w:rPr>
                      <w:color w:val="auto"/>
                      <w:sz w:val="18"/>
                      <w:szCs w:val="18"/>
                    </w:rPr>
                  </w:pPr>
                  <w:r>
                    <w:rPr>
                      <w:rFonts w:hint="eastAsia"/>
                      <w:color w:val="auto"/>
                      <w:sz w:val="18"/>
                      <w:szCs w:val="18"/>
                    </w:rPr>
                    <w:t>禁止在长江干流岸线三公里范围内新建、</w:t>
                  </w:r>
                  <w:r>
                    <w:rPr>
                      <w:rFonts w:hint="eastAsia"/>
                      <w:color w:val="auto"/>
                      <w:sz w:val="18"/>
                      <w:szCs w:val="18"/>
                      <w:lang w:eastAsia="zh-CN"/>
                    </w:rPr>
                    <w:t>技改</w:t>
                  </w:r>
                  <w:r>
                    <w:rPr>
                      <w:rFonts w:hint="eastAsia"/>
                      <w:color w:val="auto"/>
                      <w:sz w:val="18"/>
                      <w:szCs w:val="18"/>
                    </w:rPr>
                    <w:t>、扩建尾矿库、冶炼渣库和磷石膏库，以提升安全、生态环境保护水平为目的的</w:t>
                  </w:r>
                  <w:r>
                    <w:rPr>
                      <w:rFonts w:hint="eastAsia"/>
                      <w:color w:val="auto"/>
                      <w:sz w:val="18"/>
                      <w:szCs w:val="18"/>
                      <w:lang w:eastAsia="zh-CN"/>
                    </w:rPr>
                    <w:t>技改</w:t>
                  </w:r>
                  <w:r>
                    <w:rPr>
                      <w:rFonts w:hint="eastAsia"/>
                      <w:color w:val="auto"/>
                      <w:sz w:val="18"/>
                      <w:szCs w:val="18"/>
                    </w:rPr>
                    <w:t>除外。</w:t>
                  </w:r>
                </w:p>
              </w:tc>
              <w:tc>
                <w:tcPr>
                  <w:tcW w:w="1595" w:type="dxa"/>
                  <w:noWrap w:val="0"/>
                  <w:vAlign w:val="center"/>
                </w:tcPr>
                <w:p>
                  <w:pPr>
                    <w:rPr>
                      <w:color w:val="auto"/>
                      <w:sz w:val="18"/>
                      <w:szCs w:val="18"/>
                    </w:rPr>
                  </w:pPr>
                  <w:r>
                    <w:rPr>
                      <w:rFonts w:hint="eastAsia"/>
                      <w:color w:val="auto"/>
                      <w:sz w:val="18"/>
                      <w:szCs w:val="18"/>
                    </w:rPr>
                    <w:t>项目不涉及尾矿库、冶炼渣库和磷石膏库。</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36" w:type="dxa"/>
                  <w:noWrap w:val="0"/>
                  <w:vAlign w:val="center"/>
                </w:tcPr>
                <w:p>
                  <w:pPr>
                    <w:jc w:val="center"/>
                    <w:rPr>
                      <w:color w:val="auto"/>
                      <w:sz w:val="18"/>
                      <w:szCs w:val="18"/>
                    </w:rPr>
                  </w:pPr>
                  <w:r>
                    <w:rPr>
                      <w:rFonts w:hint="eastAsia"/>
                      <w:color w:val="auto"/>
                      <w:sz w:val="18"/>
                      <w:szCs w:val="18"/>
                    </w:rPr>
                    <w:t>10</w:t>
                  </w:r>
                </w:p>
              </w:tc>
              <w:tc>
                <w:tcPr>
                  <w:tcW w:w="4398" w:type="dxa"/>
                  <w:noWrap w:val="0"/>
                  <w:vAlign w:val="center"/>
                </w:tcPr>
                <w:p>
                  <w:pPr>
                    <w:rPr>
                      <w:color w:val="auto"/>
                      <w:sz w:val="18"/>
                      <w:szCs w:val="18"/>
                    </w:rPr>
                  </w:pPr>
                  <w:r>
                    <w:rPr>
                      <w:rFonts w:hint="eastAsia"/>
                      <w:color w:val="auto"/>
                      <w:sz w:val="18"/>
                      <w:szCs w:val="18"/>
                    </w:rPr>
                    <w:t>禁止在太湖流域一、二、三级保护区内开展《江苏省太湖水污染防治条例》禁止的投资建设活动。</w:t>
                  </w:r>
                </w:p>
              </w:tc>
              <w:tc>
                <w:tcPr>
                  <w:tcW w:w="1595" w:type="dxa"/>
                  <w:noWrap w:val="0"/>
                  <w:vAlign w:val="center"/>
                </w:tcPr>
                <w:p>
                  <w:pPr>
                    <w:rPr>
                      <w:color w:val="auto"/>
                      <w:sz w:val="18"/>
                      <w:szCs w:val="18"/>
                    </w:rPr>
                  </w:pPr>
                  <w:r>
                    <w:rPr>
                      <w:color w:val="auto"/>
                      <w:sz w:val="18"/>
                      <w:szCs w:val="18"/>
                    </w:rPr>
                    <w:t>项目位于</w:t>
                  </w:r>
                  <w:r>
                    <w:rPr>
                      <w:rFonts w:hint="eastAsia"/>
                      <w:color w:val="auto"/>
                      <w:sz w:val="18"/>
                      <w:szCs w:val="18"/>
                      <w:lang w:eastAsia="zh-CN"/>
                    </w:rPr>
                    <w:t>启东经济开发区人民西路3333号</w:t>
                  </w:r>
                  <w:r>
                    <w:rPr>
                      <w:color w:val="auto"/>
                      <w:sz w:val="18"/>
                      <w:szCs w:val="18"/>
                    </w:rPr>
                    <w:t>，不在</w:t>
                  </w:r>
                  <w:r>
                    <w:rPr>
                      <w:rFonts w:hint="eastAsia"/>
                      <w:color w:val="auto"/>
                      <w:sz w:val="18"/>
                      <w:szCs w:val="18"/>
                    </w:rPr>
                    <w:t>太湖流域</w:t>
                  </w:r>
                  <w:r>
                    <w:rPr>
                      <w:color w:val="auto"/>
                      <w:sz w:val="18"/>
                      <w:szCs w:val="18"/>
                    </w:rPr>
                    <w:t>内。</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6" w:type="dxa"/>
                  <w:noWrap w:val="0"/>
                  <w:vAlign w:val="center"/>
                </w:tcPr>
                <w:p>
                  <w:pPr>
                    <w:jc w:val="center"/>
                    <w:rPr>
                      <w:color w:val="auto"/>
                      <w:sz w:val="18"/>
                      <w:szCs w:val="18"/>
                    </w:rPr>
                  </w:pPr>
                  <w:r>
                    <w:rPr>
                      <w:rFonts w:hint="eastAsia"/>
                      <w:color w:val="auto"/>
                      <w:sz w:val="18"/>
                      <w:szCs w:val="18"/>
                    </w:rPr>
                    <w:t>11</w:t>
                  </w:r>
                </w:p>
              </w:tc>
              <w:tc>
                <w:tcPr>
                  <w:tcW w:w="4398" w:type="dxa"/>
                  <w:noWrap w:val="0"/>
                  <w:vAlign w:val="center"/>
                </w:tcPr>
                <w:p>
                  <w:pPr>
                    <w:rPr>
                      <w:color w:val="auto"/>
                      <w:sz w:val="18"/>
                      <w:szCs w:val="18"/>
                    </w:rPr>
                  </w:pPr>
                  <w:r>
                    <w:rPr>
                      <w:rFonts w:hint="eastAsia"/>
                      <w:color w:val="auto"/>
                      <w:sz w:val="18"/>
                      <w:szCs w:val="18"/>
                    </w:rPr>
                    <w:t>禁止在沿江地区新建、扩建未纳入国家和省布局规划的燃煤发电项目。</w:t>
                  </w:r>
                </w:p>
              </w:tc>
              <w:tc>
                <w:tcPr>
                  <w:tcW w:w="1595" w:type="dxa"/>
                  <w:noWrap w:val="0"/>
                  <w:vAlign w:val="center"/>
                </w:tcPr>
                <w:p>
                  <w:pPr>
                    <w:rPr>
                      <w:color w:val="auto"/>
                      <w:sz w:val="18"/>
                      <w:szCs w:val="18"/>
                    </w:rPr>
                  </w:pPr>
                  <w:r>
                    <w:rPr>
                      <w:rFonts w:hint="eastAsia"/>
                      <w:color w:val="auto"/>
                      <w:sz w:val="18"/>
                      <w:szCs w:val="18"/>
                    </w:rPr>
                    <w:t>项目不属于燃煤发电项目。</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436" w:type="dxa"/>
                  <w:noWrap w:val="0"/>
                  <w:vAlign w:val="center"/>
                </w:tcPr>
                <w:p>
                  <w:pPr>
                    <w:jc w:val="center"/>
                    <w:rPr>
                      <w:color w:val="auto"/>
                      <w:sz w:val="18"/>
                      <w:szCs w:val="18"/>
                    </w:rPr>
                  </w:pPr>
                  <w:r>
                    <w:rPr>
                      <w:rFonts w:hint="eastAsia"/>
                      <w:color w:val="auto"/>
                      <w:sz w:val="18"/>
                      <w:szCs w:val="18"/>
                    </w:rPr>
                    <w:t>12</w:t>
                  </w:r>
                </w:p>
              </w:tc>
              <w:tc>
                <w:tcPr>
                  <w:tcW w:w="4398" w:type="dxa"/>
                  <w:noWrap w:val="0"/>
                  <w:vAlign w:val="center"/>
                </w:tcPr>
                <w:p>
                  <w:pPr>
                    <w:rPr>
                      <w:rFonts w:hint="eastAsia" w:eastAsia="宋体"/>
                      <w:color w:val="auto"/>
                      <w:sz w:val="18"/>
                      <w:szCs w:val="18"/>
                      <w:lang w:eastAsia="zh-CN"/>
                    </w:rPr>
                  </w:pPr>
                  <w:r>
                    <w:rPr>
                      <w:rFonts w:hint="eastAsia"/>
                      <w:color w:val="auto"/>
                      <w:sz w:val="18"/>
                      <w:szCs w:val="18"/>
                    </w:rPr>
                    <w:t>禁止在合规园区外新建、扩建钢铁、石化、化工、焦化、建材、有色、制浆造纸等高污染项目。合规园区名录按照《&lt;长江经济带发展负面清单指南（试行，2022年版）江苏省实施细则合规园区名录》执行</w:t>
                  </w:r>
                  <w:r>
                    <w:rPr>
                      <w:rFonts w:hint="eastAsia"/>
                      <w:color w:val="auto"/>
                      <w:sz w:val="18"/>
                      <w:szCs w:val="18"/>
                      <w:lang w:eastAsia="zh-CN"/>
                    </w:rPr>
                    <w:t>。</w:t>
                  </w:r>
                </w:p>
              </w:tc>
              <w:tc>
                <w:tcPr>
                  <w:tcW w:w="1595" w:type="dxa"/>
                  <w:noWrap w:val="0"/>
                  <w:vAlign w:val="center"/>
                </w:tcPr>
                <w:p>
                  <w:pPr>
                    <w:rPr>
                      <w:color w:val="auto"/>
                      <w:sz w:val="18"/>
                      <w:szCs w:val="18"/>
                    </w:rPr>
                  </w:pPr>
                  <w:r>
                    <w:rPr>
                      <w:color w:val="auto"/>
                      <w:sz w:val="18"/>
                      <w:szCs w:val="18"/>
                    </w:rPr>
                    <w:t>项目</w:t>
                  </w:r>
                  <w:r>
                    <w:rPr>
                      <w:rFonts w:hint="eastAsia"/>
                      <w:color w:val="auto"/>
                      <w:sz w:val="18"/>
                      <w:szCs w:val="18"/>
                    </w:rPr>
                    <w:t>不属于</w:t>
                  </w:r>
                  <w:r>
                    <w:rPr>
                      <w:color w:val="auto"/>
                      <w:sz w:val="18"/>
                      <w:szCs w:val="18"/>
                    </w:rPr>
                    <w:t>钢铁、石化、化工、焦化、建材、有色、制浆造纸等高污染项目</w:t>
                  </w:r>
                  <w:r>
                    <w:rPr>
                      <w:rFonts w:hint="eastAsia"/>
                      <w:color w:val="auto"/>
                      <w:sz w:val="18"/>
                      <w:szCs w:val="18"/>
                    </w:rPr>
                    <w:t>。</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36" w:type="dxa"/>
                  <w:noWrap w:val="0"/>
                  <w:vAlign w:val="center"/>
                </w:tcPr>
                <w:p>
                  <w:pPr>
                    <w:jc w:val="center"/>
                    <w:rPr>
                      <w:color w:val="auto"/>
                      <w:sz w:val="18"/>
                      <w:szCs w:val="18"/>
                    </w:rPr>
                  </w:pPr>
                  <w:r>
                    <w:rPr>
                      <w:rFonts w:hint="eastAsia"/>
                      <w:color w:val="auto"/>
                      <w:sz w:val="18"/>
                      <w:szCs w:val="18"/>
                    </w:rPr>
                    <w:t>13</w:t>
                  </w:r>
                </w:p>
              </w:tc>
              <w:tc>
                <w:tcPr>
                  <w:tcW w:w="4398" w:type="dxa"/>
                  <w:noWrap w:val="0"/>
                  <w:vAlign w:val="center"/>
                </w:tcPr>
                <w:p>
                  <w:pPr>
                    <w:rPr>
                      <w:color w:val="auto"/>
                      <w:sz w:val="18"/>
                      <w:szCs w:val="18"/>
                    </w:rPr>
                  </w:pPr>
                  <w:r>
                    <w:rPr>
                      <w:rFonts w:hint="eastAsia"/>
                      <w:color w:val="auto"/>
                      <w:sz w:val="18"/>
                      <w:szCs w:val="18"/>
                    </w:rPr>
                    <w:t>禁止在取消化工定位的园区（集中区）内新建化工项目。</w:t>
                  </w:r>
                </w:p>
              </w:tc>
              <w:tc>
                <w:tcPr>
                  <w:tcW w:w="1595" w:type="dxa"/>
                  <w:noWrap w:val="0"/>
                  <w:vAlign w:val="center"/>
                </w:tcPr>
                <w:p>
                  <w:pPr>
                    <w:rPr>
                      <w:color w:val="auto"/>
                      <w:sz w:val="18"/>
                      <w:szCs w:val="18"/>
                    </w:rPr>
                  </w:pPr>
                  <w:r>
                    <w:rPr>
                      <w:rFonts w:hint="eastAsia"/>
                      <w:color w:val="auto"/>
                      <w:sz w:val="18"/>
                      <w:szCs w:val="18"/>
                    </w:rPr>
                    <w:t>项目不属于化工项目。</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36" w:type="dxa"/>
                  <w:noWrap w:val="0"/>
                  <w:vAlign w:val="center"/>
                </w:tcPr>
                <w:p>
                  <w:pPr>
                    <w:jc w:val="center"/>
                    <w:rPr>
                      <w:color w:val="auto"/>
                      <w:sz w:val="18"/>
                      <w:szCs w:val="18"/>
                    </w:rPr>
                  </w:pPr>
                  <w:r>
                    <w:rPr>
                      <w:rFonts w:hint="eastAsia"/>
                      <w:color w:val="auto"/>
                      <w:sz w:val="18"/>
                      <w:szCs w:val="18"/>
                    </w:rPr>
                    <w:t>14</w:t>
                  </w:r>
                </w:p>
              </w:tc>
              <w:tc>
                <w:tcPr>
                  <w:tcW w:w="4398" w:type="dxa"/>
                  <w:noWrap w:val="0"/>
                  <w:vAlign w:val="center"/>
                </w:tcPr>
                <w:p>
                  <w:pPr>
                    <w:rPr>
                      <w:color w:val="auto"/>
                      <w:sz w:val="18"/>
                      <w:szCs w:val="18"/>
                    </w:rPr>
                  </w:pPr>
                  <w:r>
                    <w:rPr>
                      <w:rFonts w:hint="eastAsia"/>
                      <w:color w:val="auto"/>
                      <w:sz w:val="18"/>
                      <w:szCs w:val="18"/>
                    </w:rPr>
                    <w:t>禁止在化工企业周边建设不符合安全距离规定的劳动密集型的非化工项目和其他人员密集的公共设施项目。</w:t>
                  </w:r>
                </w:p>
              </w:tc>
              <w:tc>
                <w:tcPr>
                  <w:tcW w:w="1595" w:type="dxa"/>
                  <w:noWrap w:val="0"/>
                  <w:vAlign w:val="center"/>
                </w:tcPr>
                <w:p>
                  <w:pPr>
                    <w:rPr>
                      <w:color w:val="auto"/>
                      <w:sz w:val="18"/>
                      <w:szCs w:val="18"/>
                    </w:rPr>
                  </w:pPr>
                  <w:r>
                    <w:rPr>
                      <w:rFonts w:hint="eastAsia"/>
                      <w:color w:val="auto"/>
                      <w:sz w:val="18"/>
                      <w:szCs w:val="18"/>
                    </w:rPr>
                    <w:t>项目周边无化工企业。</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9" w:type="dxa"/>
                  <w:gridSpan w:val="4"/>
                  <w:noWrap w:val="0"/>
                  <w:vAlign w:val="center"/>
                </w:tcPr>
                <w:p>
                  <w:pPr>
                    <w:jc w:val="center"/>
                    <w:rPr>
                      <w:color w:val="auto"/>
                      <w:sz w:val="18"/>
                      <w:szCs w:val="18"/>
                    </w:rPr>
                  </w:pPr>
                  <w:r>
                    <w:rPr>
                      <w:rFonts w:hint="eastAsia"/>
                      <w:b/>
                      <w:bCs/>
                      <w:color w:val="auto"/>
                      <w:sz w:val="18"/>
                      <w:szCs w:val="18"/>
                    </w:rPr>
                    <w:t>三、产业发展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dxa"/>
                  <w:noWrap w:val="0"/>
                  <w:vAlign w:val="center"/>
                </w:tcPr>
                <w:p>
                  <w:pPr>
                    <w:jc w:val="center"/>
                    <w:rPr>
                      <w:color w:val="auto"/>
                      <w:sz w:val="18"/>
                      <w:szCs w:val="18"/>
                    </w:rPr>
                  </w:pPr>
                  <w:r>
                    <w:rPr>
                      <w:rFonts w:hint="eastAsia"/>
                      <w:color w:val="auto"/>
                      <w:sz w:val="18"/>
                      <w:szCs w:val="18"/>
                    </w:rPr>
                    <w:t>15</w:t>
                  </w:r>
                </w:p>
              </w:tc>
              <w:tc>
                <w:tcPr>
                  <w:tcW w:w="4398" w:type="dxa"/>
                  <w:noWrap w:val="0"/>
                  <w:vAlign w:val="center"/>
                </w:tcPr>
                <w:p>
                  <w:pPr>
                    <w:rPr>
                      <w:color w:val="auto"/>
                      <w:sz w:val="18"/>
                      <w:szCs w:val="18"/>
                    </w:rPr>
                  </w:pPr>
                  <w:r>
                    <w:rPr>
                      <w:rFonts w:hint="eastAsia"/>
                      <w:color w:val="auto"/>
                      <w:sz w:val="18"/>
                      <w:szCs w:val="18"/>
                    </w:rPr>
                    <w:t>禁止新建、扩建不符合国家和省产业政策的尿素、磷铵、电石、烧碱、聚氯乙烯、纯碱等行业新增产能项目。</w:t>
                  </w:r>
                </w:p>
              </w:tc>
              <w:tc>
                <w:tcPr>
                  <w:tcW w:w="1595" w:type="dxa"/>
                  <w:noWrap w:val="0"/>
                  <w:vAlign w:val="center"/>
                </w:tcPr>
                <w:p>
                  <w:pPr>
                    <w:rPr>
                      <w:color w:val="auto"/>
                      <w:sz w:val="18"/>
                      <w:szCs w:val="18"/>
                    </w:rPr>
                  </w:pPr>
                  <w:r>
                    <w:rPr>
                      <w:rFonts w:hint="eastAsia"/>
                      <w:color w:val="auto"/>
                      <w:sz w:val="18"/>
                      <w:szCs w:val="18"/>
                    </w:rPr>
                    <w:t>项目不属于尿素、磷铵、电石、烧碱、聚氯乙烯、纯碱等行业</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36" w:type="dxa"/>
                  <w:noWrap w:val="0"/>
                  <w:vAlign w:val="center"/>
                </w:tcPr>
                <w:p>
                  <w:pPr>
                    <w:jc w:val="center"/>
                    <w:rPr>
                      <w:color w:val="auto"/>
                      <w:sz w:val="18"/>
                      <w:szCs w:val="18"/>
                    </w:rPr>
                  </w:pPr>
                  <w:r>
                    <w:rPr>
                      <w:rFonts w:hint="eastAsia"/>
                      <w:color w:val="auto"/>
                      <w:sz w:val="18"/>
                      <w:szCs w:val="18"/>
                    </w:rPr>
                    <w:t>16</w:t>
                  </w:r>
                </w:p>
              </w:tc>
              <w:tc>
                <w:tcPr>
                  <w:tcW w:w="4398" w:type="dxa"/>
                  <w:noWrap w:val="0"/>
                  <w:vAlign w:val="center"/>
                </w:tcPr>
                <w:p>
                  <w:pPr>
                    <w:rPr>
                      <w:color w:val="auto"/>
                      <w:sz w:val="18"/>
                      <w:szCs w:val="18"/>
                    </w:rPr>
                  </w:pPr>
                  <w:r>
                    <w:rPr>
                      <w:rFonts w:hint="eastAsia"/>
                      <w:color w:val="auto"/>
                      <w:sz w:val="18"/>
                      <w:szCs w:val="18"/>
                    </w:rPr>
                    <w:t>禁止新建、</w:t>
                  </w:r>
                  <w:r>
                    <w:rPr>
                      <w:rFonts w:hint="eastAsia"/>
                      <w:color w:val="auto"/>
                      <w:sz w:val="18"/>
                      <w:szCs w:val="18"/>
                      <w:lang w:eastAsia="zh-CN"/>
                    </w:rPr>
                    <w:t>技改</w:t>
                  </w:r>
                  <w:r>
                    <w:rPr>
                      <w:rFonts w:hint="eastAsia"/>
                      <w:color w:val="auto"/>
                      <w:sz w:val="18"/>
                      <w:szCs w:val="18"/>
                    </w:rPr>
                    <w:t>、扩建高毒、高残留以及对环境影响大的农药原药（化学合成类）项目，禁止新建、扩建不符合国家和省产业政策的农药、医药和染料中间体化工项目。</w:t>
                  </w:r>
                </w:p>
              </w:tc>
              <w:tc>
                <w:tcPr>
                  <w:tcW w:w="1595" w:type="dxa"/>
                  <w:noWrap w:val="0"/>
                  <w:vAlign w:val="center"/>
                </w:tcPr>
                <w:p>
                  <w:pPr>
                    <w:rPr>
                      <w:color w:val="auto"/>
                      <w:sz w:val="18"/>
                      <w:szCs w:val="18"/>
                    </w:rPr>
                  </w:pPr>
                  <w:r>
                    <w:rPr>
                      <w:rFonts w:hint="eastAsia"/>
                      <w:color w:val="auto"/>
                      <w:sz w:val="18"/>
                      <w:szCs w:val="18"/>
                    </w:rPr>
                    <w:t>项目不属于农药、医药和染料中间体化工项目。</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36" w:type="dxa"/>
                  <w:noWrap w:val="0"/>
                  <w:vAlign w:val="center"/>
                </w:tcPr>
                <w:p>
                  <w:pPr>
                    <w:jc w:val="center"/>
                    <w:rPr>
                      <w:color w:val="auto"/>
                      <w:sz w:val="18"/>
                      <w:szCs w:val="18"/>
                    </w:rPr>
                  </w:pPr>
                  <w:r>
                    <w:rPr>
                      <w:rFonts w:hint="eastAsia"/>
                      <w:color w:val="auto"/>
                      <w:sz w:val="18"/>
                      <w:szCs w:val="18"/>
                    </w:rPr>
                    <w:t>17</w:t>
                  </w:r>
                </w:p>
              </w:tc>
              <w:tc>
                <w:tcPr>
                  <w:tcW w:w="4398" w:type="dxa"/>
                  <w:noWrap w:val="0"/>
                  <w:vAlign w:val="center"/>
                </w:tcPr>
                <w:p>
                  <w:pPr>
                    <w:rPr>
                      <w:color w:val="auto"/>
                      <w:sz w:val="18"/>
                      <w:szCs w:val="18"/>
                    </w:rPr>
                  </w:pPr>
                  <w:r>
                    <w:rPr>
                      <w:rFonts w:hint="eastAsia"/>
                      <w:color w:val="auto"/>
                      <w:sz w:val="18"/>
                      <w:szCs w:val="18"/>
                    </w:rPr>
                    <w:t>禁止新建、扩建不符合国家石化、现代煤化工等产业布局规划的项目，禁止新建独立焦化项目。</w:t>
                  </w:r>
                </w:p>
              </w:tc>
              <w:tc>
                <w:tcPr>
                  <w:tcW w:w="1595" w:type="dxa"/>
                  <w:noWrap w:val="0"/>
                  <w:vAlign w:val="center"/>
                </w:tcPr>
                <w:p>
                  <w:pPr>
                    <w:adjustRightInd w:val="0"/>
                    <w:snapToGrid w:val="0"/>
                    <w:rPr>
                      <w:color w:val="auto"/>
                      <w:sz w:val="18"/>
                      <w:szCs w:val="18"/>
                    </w:rPr>
                  </w:pPr>
                  <w:r>
                    <w:rPr>
                      <w:color w:val="auto"/>
                      <w:sz w:val="18"/>
                      <w:szCs w:val="18"/>
                    </w:rPr>
                    <w:t>项目不属于国家石化、现代煤化工等产业布局规划的项目。</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436" w:type="dxa"/>
                  <w:noWrap w:val="0"/>
                  <w:vAlign w:val="center"/>
                </w:tcPr>
                <w:p>
                  <w:pPr>
                    <w:jc w:val="center"/>
                    <w:rPr>
                      <w:color w:val="auto"/>
                      <w:sz w:val="18"/>
                      <w:szCs w:val="18"/>
                    </w:rPr>
                  </w:pPr>
                  <w:r>
                    <w:rPr>
                      <w:rFonts w:hint="eastAsia"/>
                      <w:color w:val="auto"/>
                      <w:sz w:val="18"/>
                      <w:szCs w:val="18"/>
                    </w:rPr>
                    <w:t>18</w:t>
                  </w:r>
                </w:p>
              </w:tc>
              <w:tc>
                <w:tcPr>
                  <w:tcW w:w="4398" w:type="dxa"/>
                  <w:noWrap w:val="0"/>
                  <w:vAlign w:val="center"/>
                </w:tcPr>
                <w:p>
                  <w:pPr>
                    <w:rPr>
                      <w:color w:val="auto"/>
                      <w:sz w:val="18"/>
                      <w:szCs w:val="18"/>
                    </w:rPr>
                  </w:pPr>
                  <w:r>
                    <w:rPr>
                      <w:rFonts w:hint="eastAsia"/>
                      <w:color w:val="auto"/>
                      <w:sz w:val="18"/>
                      <w:szCs w:val="18"/>
                    </w:rPr>
                    <w:t>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1595" w:type="dxa"/>
                  <w:noWrap w:val="0"/>
                  <w:vAlign w:val="center"/>
                </w:tcPr>
                <w:p>
                  <w:pPr>
                    <w:adjustRightInd w:val="0"/>
                    <w:snapToGrid w:val="0"/>
                    <w:rPr>
                      <w:color w:val="auto"/>
                      <w:sz w:val="18"/>
                      <w:szCs w:val="18"/>
                    </w:rPr>
                  </w:pPr>
                  <w:r>
                    <w:rPr>
                      <w:rFonts w:hint="eastAsia"/>
                      <w:color w:val="auto"/>
                      <w:sz w:val="18"/>
                      <w:szCs w:val="18"/>
                    </w:rPr>
                    <w:t>项目不属于限制类、淘汰类、禁止类项目。</w:t>
                  </w:r>
                </w:p>
              </w:tc>
              <w:tc>
                <w:tcPr>
                  <w:tcW w:w="690" w:type="dxa"/>
                  <w:noWrap w:val="0"/>
                  <w:vAlign w:val="center"/>
                </w:tcPr>
                <w:p>
                  <w:pPr>
                    <w:jc w:val="center"/>
                    <w:rPr>
                      <w:color w:val="auto"/>
                      <w:sz w:val="18"/>
                      <w:szCs w:val="18"/>
                    </w:rPr>
                  </w:pPr>
                  <w:r>
                    <w:rPr>
                      <w:rFonts w:hint="eastAsia"/>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36" w:type="dxa"/>
                  <w:noWrap w:val="0"/>
                  <w:vAlign w:val="center"/>
                </w:tcPr>
                <w:p>
                  <w:pPr>
                    <w:jc w:val="center"/>
                    <w:rPr>
                      <w:color w:val="auto"/>
                      <w:sz w:val="18"/>
                      <w:szCs w:val="18"/>
                    </w:rPr>
                  </w:pPr>
                  <w:r>
                    <w:rPr>
                      <w:rFonts w:hint="eastAsia"/>
                      <w:color w:val="auto"/>
                      <w:sz w:val="18"/>
                      <w:szCs w:val="18"/>
                    </w:rPr>
                    <w:t>19</w:t>
                  </w:r>
                </w:p>
              </w:tc>
              <w:tc>
                <w:tcPr>
                  <w:tcW w:w="4398" w:type="dxa"/>
                  <w:noWrap w:val="0"/>
                  <w:vAlign w:val="center"/>
                </w:tcPr>
                <w:p>
                  <w:pPr>
                    <w:rPr>
                      <w:color w:val="auto"/>
                      <w:sz w:val="18"/>
                      <w:szCs w:val="18"/>
                    </w:rPr>
                  </w:pPr>
                  <w:r>
                    <w:rPr>
                      <w:rFonts w:hint="eastAsia"/>
                      <w:color w:val="auto"/>
                      <w:sz w:val="18"/>
                      <w:szCs w:val="18"/>
                    </w:rPr>
                    <w:t>禁止新建、扩建不符合国家产能置换要求的严重过剩产能行业的项目。禁止新建、扩建不符合要求的高耗能高排放项目。</w:t>
                  </w:r>
                </w:p>
              </w:tc>
              <w:tc>
                <w:tcPr>
                  <w:tcW w:w="1595" w:type="dxa"/>
                  <w:noWrap w:val="0"/>
                  <w:vAlign w:val="center"/>
                </w:tcPr>
                <w:p>
                  <w:pPr>
                    <w:adjustRightInd w:val="0"/>
                    <w:snapToGrid w:val="0"/>
                    <w:rPr>
                      <w:color w:val="auto"/>
                      <w:sz w:val="18"/>
                      <w:szCs w:val="18"/>
                    </w:rPr>
                  </w:pPr>
                  <w:r>
                    <w:rPr>
                      <w:color w:val="auto"/>
                      <w:sz w:val="18"/>
                      <w:szCs w:val="18"/>
                    </w:rPr>
                    <w:t>项目不属于落后产能、严重过剩产能行业项目。</w:t>
                  </w:r>
                </w:p>
              </w:tc>
              <w:tc>
                <w:tcPr>
                  <w:tcW w:w="690" w:type="dxa"/>
                  <w:noWrap w:val="0"/>
                  <w:vAlign w:val="center"/>
                </w:tcPr>
                <w:p>
                  <w:pPr>
                    <w:jc w:val="center"/>
                    <w:rPr>
                      <w:color w:val="auto"/>
                      <w:sz w:val="18"/>
                      <w:szCs w:val="18"/>
                    </w:rPr>
                  </w:pPr>
                  <w:r>
                    <w:rPr>
                      <w:rFonts w:hint="eastAsia"/>
                      <w:color w:val="auto"/>
                      <w:sz w:val="18"/>
                      <w:szCs w:val="18"/>
                    </w:rPr>
                    <w:t>相符</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rFonts w:hint="eastAsia"/>
                <w:b/>
                <w:bCs/>
                <w:color w:val="auto"/>
                <w:szCs w:val="21"/>
              </w:rPr>
            </w:pPr>
            <w:r>
              <w:rPr>
                <w:rFonts w:hint="eastAsia"/>
                <w:b/>
                <w:bCs/>
                <w:color w:val="auto"/>
                <w:szCs w:val="21"/>
                <w:lang w:val="en-US" w:eastAsia="zh-CN"/>
              </w:rPr>
              <w:t>9</w:t>
            </w:r>
            <w:r>
              <w:rPr>
                <w:rFonts w:hint="eastAsia"/>
                <w:b/>
                <w:bCs/>
                <w:color w:val="auto"/>
                <w:szCs w:val="21"/>
              </w:rPr>
              <w:t>、</w:t>
            </w:r>
            <w:r>
              <w:rPr>
                <w:b/>
                <w:bCs/>
                <w:color w:val="auto"/>
                <w:szCs w:val="21"/>
              </w:rPr>
              <w:t>与《关于加强高耗能、高排放建设项目生态环境源头防控的指导意见》（环环评〔2021〕45号）相符性分析</w:t>
            </w:r>
          </w:p>
          <w:p>
            <w:pPr>
              <w:adjustRightInd w:val="0"/>
              <w:snapToGrid w:val="0"/>
              <w:spacing w:line="500" w:lineRule="exact"/>
              <w:ind w:firstLine="420" w:firstLineChars="200"/>
              <w:rPr>
                <w:rFonts w:hint="eastAsia"/>
                <w:color w:val="auto"/>
                <w:lang w:eastAsia="zh-CN"/>
              </w:rPr>
            </w:pPr>
            <w:r>
              <w:rPr>
                <w:rFonts w:hint="eastAsia"/>
                <w:color w:val="auto"/>
                <w:kern w:val="0"/>
                <w:szCs w:val="21"/>
              </w:rPr>
              <w:t>对照《关于加强高耗能、高排放建设项目生态环境源头防控的指导意见》（环环评〔2021〕45号），本项目与</w:t>
            </w:r>
            <w:bookmarkStart w:id="6" w:name="OLE_LINK131"/>
            <w:r>
              <w:rPr>
                <w:rFonts w:hint="eastAsia"/>
                <w:color w:val="auto"/>
                <w:kern w:val="0"/>
                <w:szCs w:val="21"/>
              </w:rPr>
              <w:t>《关于加强高耗能、高排放建设项目生态环境源头防控的指导意见》（环环评〔2021〕45号）相符性分析</w:t>
            </w:r>
            <w:bookmarkEnd w:id="6"/>
            <w:r>
              <w:rPr>
                <w:rFonts w:hint="eastAsia"/>
                <w:color w:val="auto"/>
                <w:kern w:val="0"/>
                <w:szCs w:val="21"/>
              </w:rPr>
              <w:t>见表1-</w:t>
            </w:r>
            <w:r>
              <w:rPr>
                <w:rFonts w:hint="eastAsia"/>
                <w:color w:val="auto"/>
                <w:kern w:val="0"/>
                <w:szCs w:val="21"/>
                <w:lang w:val="en-US" w:eastAsia="zh-CN"/>
              </w:rPr>
              <w:t>10</w:t>
            </w:r>
            <w:r>
              <w:rPr>
                <w:rFonts w:hint="eastAsia"/>
                <w:color w:val="auto"/>
                <w:kern w:val="0"/>
                <w:szCs w:val="21"/>
              </w:rPr>
              <w:t>。</w:t>
            </w:r>
          </w:p>
          <w:p>
            <w:pPr>
              <w:spacing w:line="500" w:lineRule="exact"/>
              <w:ind w:firstLine="422" w:firstLineChars="200"/>
              <w:jc w:val="center"/>
              <w:rPr>
                <w:rFonts w:hAnsi="宋体"/>
                <w:b/>
                <w:color w:val="auto"/>
                <w:szCs w:val="21"/>
              </w:rPr>
            </w:pPr>
            <w:r>
              <w:rPr>
                <w:rFonts w:hint="eastAsia" w:hAnsi="宋体"/>
                <w:b/>
                <w:color w:val="auto"/>
                <w:szCs w:val="21"/>
              </w:rPr>
              <w:t>表1-</w:t>
            </w:r>
            <w:r>
              <w:rPr>
                <w:rFonts w:hint="eastAsia" w:hAnsi="宋体"/>
                <w:b/>
                <w:color w:val="auto"/>
                <w:szCs w:val="21"/>
                <w:lang w:val="en-US" w:eastAsia="zh-CN"/>
              </w:rPr>
              <w:t xml:space="preserve">10 </w:t>
            </w:r>
            <w:r>
              <w:rPr>
                <w:rFonts w:hAnsi="宋体"/>
                <w:b/>
                <w:color w:val="auto"/>
                <w:szCs w:val="21"/>
              </w:rPr>
              <w:t>项目与</w:t>
            </w:r>
            <w:r>
              <w:rPr>
                <w:rFonts w:hint="eastAsia" w:hAnsi="宋体"/>
                <w:b/>
                <w:color w:val="auto"/>
                <w:szCs w:val="21"/>
              </w:rPr>
              <w:t>环环评〔2021〕45号相符性分析</w:t>
            </w:r>
          </w:p>
          <w:tbl>
            <w:tblPr>
              <w:tblStyle w:val="11"/>
              <w:tblW w:w="68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54"/>
              <w:gridCol w:w="2428"/>
              <w:gridCol w:w="13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3054" w:type="dxa"/>
                  <w:noWrap w:val="0"/>
                  <w:vAlign w:val="center"/>
                </w:tcPr>
                <w:p>
                  <w:pPr>
                    <w:tabs>
                      <w:tab w:val="left" w:pos="6379"/>
                    </w:tabs>
                    <w:overflowPunct w:val="0"/>
                    <w:adjustRightInd w:val="0"/>
                    <w:snapToGrid w:val="0"/>
                    <w:jc w:val="center"/>
                    <w:rPr>
                      <w:color w:val="auto"/>
                      <w:sz w:val="18"/>
                      <w:szCs w:val="21"/>
                    </w:rPr>
                  </w:pPr>
                  <w:r>
                    <w:rPr>
                      <w:color w:val="auto"/>
                      <w:sz w:val="18"/>
                      <w:szCs w:val="21"/>
                    </w:rPr>
                    <w:t>相关要求</w:t>
                  </w:r>
                </w:p>
              </w:tc>
              <w:tc>
                <w:tcPr>
                  <w:tcW w:w="2428" w:type="dxa"/>
                  <w:noWrap w:val="0"/>
                  <w:vAlign w:val="center"/>
                </w:tcPr>
                <w:p>
                  <w:pPr>
                    <w:tabs>
                      <w:tab w:val="left" w:pos="6379"/>
                    </w:tabs>
                    <w:overflowPunct w:val="0"/>
                    <w:adjustRightInd w:val="0"/>
                    <w:snapToGrid w:val="0"/>
                    <w:jc w:val="center"/>
                    <w:rPr>
                      <w:color w:val="auto"/>
                      <w:sz w:val="18"/>
                      <w:szCs w:val="21"/>
                    </w:rPr>
                  </w:pPr>
                  <w:r>
                    <w:rPr>
                      <w:color w:val="auto"/>
                      <w:sz w:val="18"/>
                      <w:szCs w:val="21"/>
                    </w:rPr>
                    <w:t>相符性分析</w:t>
                  </w:r>
                </w:p>
              </w:tc>
              <w:tc>
                <w:tcPr>
                  <w:tcW w:w="1357" w:type="dxa"/>
                  <w:noWrap w:val="0"/>
                  <w:vAlign w:val="center"/>
                </w:tcPr>
                <w:p>
                  <w:pPr>
                    <w:tabs>
                      <w:tab w:val="left" w:pos="6379"/>
                    </w:tabs>
                    <w:overflowPunct w:val="0"/>
                    <w:adjustRightInd w:val="0"/>
                    <w:snapToGrid w:val="0"/>
                    <w:jc w:val="center"/>
                    <w:rPr>
                      <w:color w:val="auto"/>
                      <w:sz w:val="18"/>
                      <w:szCs w:val="21"/>
                    </w:rPr>
                  </w:pPr>
                  <w:r>
                    <w:rPr>
                      <w:color w:val="auto"/>
                      <w:sz w:val="18"/>
                      <w:szCs w:val="21"/>
                    </w:rPr>
                    <w:t>符合情况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4"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坚决遏制高耗能、高排放（以下简称“两高”）项目盲目发展</w:t>
                  </w:r>
                </w:p>
              </w:tc>
              <w:tc>
                <w:tcPr>
                  <w:tcW w:w="2428"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本项目不属于“两高”项目</w:t>
                  </w:r>
                </w:p>
              </w:tc>
              <w:tc>
                <w:tcPr>
                  <w:tcW w:w="1357" w:type="dxa"/>
                  <w:noWrap w:val="0"/>
                  <w:vAlign w:val="center"/>
                </w:tcPr>
                <w:p>
                  <w:pPr>
                    <w:tabs>
                      <w:tab w:val="left" w:pos="6379"/>
                    </w:tabs>
                    <w:overflowPunct w:val="0"/>
                    <w:adjustRightInd w:val="0"/>
                    <w:snapToGrid w:val="0"/>
                    <w:jc w:val="center"/>
                    <w:rPr>
                      <w:color w:val="auto"/>
                      <w:sz w:val="18"/>
                      <w:szCs w:val="21"/>
                    </w:rPr>
                  </w:pPr>
                  <w:bookmarkStart w:id="7" w:name="OLE_LINK133"/>
                  <w:r>
                    <w:rPr>
                      <w:color w:val="auto"/>
                      <w:sz w:val="18"/>
                      <w:szCs w:val="21"/>
                    </w:rPr>
                    <w:t>符合</w:t>
                  </w:r>
                  <w:bookmarkEnd w:id="7"/>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054"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严格“两高”项目环评审批</w:t>
                  </w:r>
                </w:p>
              </w:tc>
              <w:tc>
                <w:tcPr>
                  <w:tcW w:w="2428"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本项目不属于“两高”项目</w:t>
                  </w:r>
                </w:p>
              </w:tc>
              <w:tc>
                <w:tcPr>
                  <w:tcW w:w="1357" w:type="dxa"/>
                  <w:noWrap w:val="0"/>
                  <w:vAlign w:val="center"/>
                </w:tcPr>
                <w:p>
                  <w:pPr>
                    <w:tabs>
                      <w:tab w:val="left" w:pos="6379"/>
                    </w:tabs>
                    <w:overflowPunct w:val="0"/>
                    <w:adjustRightInd w:val="0"/>
                    <w:snapToGrid w:val="0"/>
                    <w:jc w:val="center"/>
                    <w:rPr>
                      <w:color w:val="auto"/>
                      <w:sz w:val="18"/>
                      <w:szCs w:val="21"/>
                    </w:rPr>
                  </w:pPr>
                  <w:r>
                    <w:rPr>
                      <w:color w:val="auto"/>
                      <w:sz w:val="18"/>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054"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推进“两高”行业减污降碳协同控制</w:t>
                  </w:r>
                </w:p>
              </w:tc>
              <w:tc>
                <w:tcPr>
                  <w:tcW w:w="2428"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本项目不属于“两高”项目</w:t>
                  </w:r>
                </w:p>
              </w:tc>
              <w:tc>
                <w:tcPr>
                  <w:tcW w:w="1357" w:type="dxa"/>
                  <w:noWrap w:val="0"/>
                  <w:vAlign w:val="center"/>
                </w:tcPr>
                <w:p>
                  <w:pPr>
                    <w:tabs>
                      <w:tab w:val="left" w:pos="6379"/>
                    </w:tabs>
                    <w:overflowPunct w:val="0"/>
                    <w:adjustRightInd w:val="0"/>
                    <w:snapToGrid w:val="0"/>
                    <w:jc w:val="center"/>
                    <w:rPr>
                      <w:color w:val="auto"/>
                      <w:sz w:val="18"/>
                      <w:szCs w:val="21"/>
                    </w:rPr>
                  </w:pPr>
                  <w:r>
                    <w:rPr>
                      <w:color w:val="auto"/>
                      <w:sz w:val="18"/>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054"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依排污许可证强化监管执法</w:t>
                  </w:r>
                </w:p>
              </w:tc>
              <w:tc>
                <w:tcPr>
                  <w:tcW w:w="2428"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本项目不属于“两高”项目</w:t>
                  </w:r>
                </w:p>
              </w:tc>
              <w:tc>
                <w:tcPr>
                  <w:tcW w:w="1357" w:type="dxa"/>
                  <w:noWrap w:val="0"/>
                  <w:vAlign w:val="center"/>
                </w:tcPr>
                <w:p>
                  <w:pPr>
                    <w:tabs>
                      <w:tab w:val="left" w:pos="6379"/>
                    </w:tabs>
                    <w:overflowPunct w:val="0"/>
                    <w:adjustRightInd w:val="0"/>
                    <w:snapToGrid w:val="0"/>
                    <w:jc w:val="center"/>
                    <w:rPr>
                      <w:color w:val="auto"/>
                      <w:sz w:val="18"/>
                      <w:szCs w:val="21"/>
                    </w:rPr>
                  </w:pPr>
                  <w:r>
                    <w:rPr>
                      <w:color w:val="auto"/>
                      <w:sz w:val="18"/>
                      <w:szCs w:val="21"/>
                    </w:rPr>
                    <w:t>符合</w:t>
                  </w:r>
                </w:p>
              </w:tc>
            </w:tr>
          </w:tbl>
          <w:p>
            <w:pPr>
              <w:adjustRightInd w:val="0"/>
              <w:snapToGrid w:val="0"/>
              <w:spacing w:line="500" w:lineRule="exact"/>
              <w:rPr>
                <w:rFonts w:hint="eastAsia" w:hAnsi="宋体"/>
                <w:b/>
                <w:color w:val="auto"/>
                <w:szCs w:val="21"/>
              </w:rPr>
            </w:pPr>
            <w:r>
              <w:rPr>
                <w:rFonts w:hint="eastAsia"/>
                <w:b/>
                <w:bCs/>
                <w:color w:val="auto"/>
                <w:szCs w:val="21"/>
              </w:rPr>
              <w:t>1</w:t>
            </w:r>
            <w:r>
              <w:rPr>
                <w:rFonts w:hint="eastAsia"/>
                <w:b/>
                <w:bCs/>
                <w:color w:val="auto"/>
                <w:szCs w:val="21"/>
                <w:lang w:val="en-US" w:eastAsia="zh-CN"/>
              </w:rPr>
              <w:t>1</w:t>
            </w:r>
            <w:r>
              <w:rPr>
                <w:rFonts w:hint="eastAsia"/>
                <w:b/>
                <w:bCs/>
                <w:color w:val="auto"/>
                <w:szCs w:val="21"/>
              </w:rPr>
              <w:t>、与《南通市关于加大污染减排力度推进重点行业绿色发展的指导意见》的通知（通办（2021）59号）相符性分析</w:t>
            </w:r>
          </w:p>
          <w:p>
            <w:pPr>
              <w:spacing w:line="500" w:lineRule="exact"/>
              <w:ind w:firstLine="422" w:firstLineChars="200"/>
              <w:jc w:val="center"/>
              <w:rPr>
                <w:rFonts w:hAnsi="宋体"/>
                <w:b/>
                <w:color w:val="auto"/>
                <w:szCs w:val="21"/>
              </w:rPr>
            </w:pPr>
            <w:r>
              <w:rPr>
                <w:rFonts w:hint="eastAsia" w:hAnsi="宋体"/>
                <w:b/>
                <w:color w:val="auto"/>
                <w:szCs w:val="21"/>
              </w:rPr>
              <w:t>表1-</w:t>
            </w:r>
            <w:r>
              <w:rPr>
                <w:rFonts w:hint="eastAsia" w:hAnsi="宋体"/>
                <w:b/>
                <w:color w:val="auto"/>
                <w:szCs w:val="21"/>
                <w:lang w:val="en-US" w:eastAsia="zh-CN"/>
              </w:rPr>
              <w:t xml:space="preserve">11 </w:t>
            </w:r>
            <w:r>
              <w:rPr>
                <w:rFonts w:hint="eastAsia" w:hAnsi="宋体"/>
                <w:b/>
                <w:color w:val="auto"/>
                <w:szCs w:val="21"/>
              </w:rPr>
              <w:t>与《南通市关于加大污染减排力度推进重点行业绿色发展的指导意见》的通知（通办（2021）59号）相符性分析</w:t>
            </w:r>
          </w:p>
          <w:tbl>
            <w:tblPr>
              <w:tblStyle w:val="11"/>
              <w:tblW w:w="71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1"/>
              <w:gridCol w:w="710"/>
              <w:gridCol w:w="4015"/>
              <w:gridCol w:w="1371"/>
              <w:gridCol w:w="6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401" w:type="dxa"/>
                  <w:noWrap w:val="0"/>
                  <w:vAlign w:val="center"/>
                </w:tcPr>
                <w:p>
                  <w:pPr>
                    <w:tabs>
                      <w:tab w:val="left" w:pos="6379"/>
                    </w:tabs>
                    <w:overflowPunct w:val="0"/>
                    <w:adjustRightInd w:val="0"/>
                    <w:snapToGrid w:val="0"/>
                    <w:jc w:val="center"/>
                    <w:rPr>
                      <w:b w:val="0"/>
                      <w:bCs/>
                      <w:color w:val="auto"/>
                      <w:sz w:val="18"/>
                      <w:szCs w:val="21"/>
                    </w:rPr>
                  </w:pPr>
                  <w:r>
                    <w:rPr>
                      <w:b w:val="0"/>
                      <w:bCs/>
                      <w:color w:val="auto"/>
                      <w:sz w:val="18"/>
                      <w:szCs w:val="21"/>
                    </w:rPr>
                    <w:t>序号</w:t>
                  </w:r>
                </w:p>
              </w:tc>
              <w:tc>
                <w:tcPr>
                  <w:tcW w:w="710" w:type="dxa"/>
                  <w:noWrap w:val="0"/>
                  <w:vAlign w:val="center"/>
                </w:tcPr>
                <w:p>
                  <w:pPr>
                    <w:tabs>
                      <w:tab w:val="left" w:pos="6379"/>
                    </w:tabs>
                    <w:overflowPunct w:val="0"/>
                    <w:adjustRightInd w:val="0"/>
                    <w:snapToGrid w:val="0"/>
                    <w:jc w:val="center"/>
                    <w:rPr>
                      <w:b w:val="0"/>
                      <w:bCs/>
                      <w:color w:val="auto"/>
                      <w:sz w:val="18"/>
                      <w:szCs w:val="21"/>
                    </w:rPr>
                  </w:pPr>
                  <w:r>
                    <w:rPr>
                      <w:b w:val="0"/>
                      <w:bCs/>
                      <w:color w:val="auto"/>
                      <w:sz w:val="18"/>
                      <w:szCs w:val="21"/>
                    </w:rPr>
                    <w:t>类别</w:t>
                  </w:r>
                </w:p>
              </w:tc>
              <w:tc>
                <w:tcPr>
                  <w:tcW w:w="4015" w:type="dxa"/>
                  <w:noWrap w:val="0"/>
                  <w:vAlign w:val="center"/>
                </w:tcPr>
                <w:p>
                  <w:pPr>
                    <w:tabs>
                      <w:tab w:val="left" w:pos="6379"/>
                    </w:tabs>
                    <w:overflowPunct w:val="0"/>
                    <w:adjustRightInd w:val="0"/>
                    <w:snapToGrid w:val="0"/>
                    <w:jc w:val="center"/>
                    <w:rPr>
                      <w:b w:val="0"/>
                      <w:bCs/>
                      <w:color w:val="auto"/>
                      <w:sz w:val="18"/>
                      <w:szCs w:val="21"/>
                    </w:rPr>
                  </w:pPr>
                  <w:r>
                    <w:rPr>
                      <w:b w:val="0"/>
                      <w:bCs/>
                      <w:color w:val="auto"/>
                      <w:sz w:val="18"/>
                      <w:szCs w:val="21"/>
                    </w:rPr>
                    <w:t>方案相关内容</w:t>
                  </w:r>
                </w:p>
              </w:tc>
              <w:tc>
                <w:tcPr>
                  <w:tcW w:w="1371" w:type="dxa"/>
                  <w:noWrap w:val="0"/>
                  <w:vAlign w:val="center"/>
                </w:tcPr>
                <w:p>
                  <w:pPr>
                    <w:tabs>
                      <w:tab w:val="left" w:pos="6379"/>
                    </w:tabs>
                    <w:overflowPunct w:val="0"/>
                    <w:adjustRightInd w:val="0"/>
                    <w:snapToGrid w:val="0"/>
                    <w:jc w:val="center"/>
                    <w:rPr>
                      <w:b w:val="0"/>
                      <w:bCs/>
                      <w:color w:val="auto"/>
                      <w:sz w:val="18"/>
                      <w:szCs w:val="21"/>
                    </w:rPr>
                  </w:pPr>
                  <w:r>
                    <w:rPr>
                      <w:b w:val="0"/>
                      <w:bCs/>
                      <w:color w:val="auto"/>
                      <w:sz w:val="18"/>
                      <w:szCs w:val="21"/>
                    </w:rPr>
                    <w:t>本项目情况</w:t>
                  </w:r>
                </w:p>
              </w:tc>
              <w:tc>
                <w:tcPr>
                  <w:tcW w:w="663" w:type="dxa"/>
                  <w:noWrap w:val="0"/>
                  <w:vAlign w:val="center"/>
                </w:tcPr>
                <w:p>
                  <w:pPr>
                    <w:tabs>
                      <w:tab w:val="left" w:pos="6379"/>
                    </w:tabs>
                    <w:overflowPunct w:val="0"/>
                    <w:adjustRightInd w:val="0"/>
                    <w:snapToGrid w:val="0"/>
                    <w:jc w:val="both"/>
                    <w:rPr>
                      <w:b w:val="0"/>
                      <w:bCs/>
                      <w:color w:val="auto"/>
                      <w:sz w:val="18"/>
                      <w:szCs w:val="21"/>
                    </w:rPr>
                  </w:pPr>
                  <w:r>
                    <w:rPr>
                      <w:b w:val="0"/>
                      <w:bCs/>
                      <w:color w:val="auto"/>
                      <w:sz w:val="18"/>
                      <w:szCs w:val="21"/>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401" w:type="dxa"/>
                  <w:noWrap w:val="0"/>
                  <w:vAlign w:val="center"/>
                </w:tcPr>
                <w:p>
                  <w:pPr>
                    <w:tabs>
                      <w:tab w:val="left" w:pos="6379"/>
                    </w:tabs>
                    <w:overflowPunct w:val="0"/>
                    <w:adjustRightInd w:val="0"/>
                    <w:snapToGrid w:val="0"/>
                    <w:jc w:val="center"/>
                    <w:rPr>
                      <w:rFonts w:hint="eastAsia" w:eastAsia="宋体"/>
                      <w:color w:val="auto"/>
                      <w:sz w:val="18"/>
                      <w:szCs w:val="21"/>
                      <w:lang w:val="en-US" w:eastAsia="zh-CN"/>
                    </w:rPr>
                  </w:pPr>
                  <w:r>
                    <w:rPr>
                      <w:rFonts w:hint="eastAsia"/>
                      <w:color w:val="auto"/>
                      <w:sz w:val="18"/>
                      <w:szCs w:val="21"/>
                      <w:lang w:val="en-US" w:eastAsia="zh-CN"/>
                    </w:rPr>
                    <w:t>1</w:t>
                  </w:r>
                </w:p>
              </w:tc>
              <w:tc>
                <w:tcPr>
                  <w:tcW w:w="710"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eastAsia="zh-CN"/>
                    </w:rPr>
                    <w:t>装备制造</w:t>
                  </w:r>
                </w:p>
              </w:tc>
              <w:tc>
                <w:tcPr>
                  <w:tcW w:w="4015" w:type="dxa"/>
                  <w:noWrap w:val="0"/>
                  <w:vAlign w:val="center"/>
                </w:tcPr>
                <w:p>
                  <w:pPr>
                    <w:tabs>
                      <w:tab w:val="left" w:pos="6379"/>
                    </w:tabs>
                    <w:overflowPunct w:val="0"/>
                    <w:adjustRightInd w:val="0"/>
                    <w:snapToGrid w:val="0"/>
                    <w:jc w:val="center"/>
                    <w:rPr>
                      <w:rFonts w:hint="eastAsia"/>
                      <w:color w:val="auto"/>
                      <w:sz w:val="18"/>
                      <w:szCs w:val="21"/>
                    </w:rPr>
                  </w:pPr>
                  <w:r>
                    <w:rPr>
                      <w:rFonts w:hint="eastAsia"/>
                      <w:color w:val="auto"/>
                      <w:sz w:val="18"/>
                      <w:szCs w:val="21"/>
                    </w:rPr>
                    <w:t>新建企业亩均工业产值≥120万元/亩、亩均税收≥13.3万元/亩。禁止引进纯电镀项目（为本地产业配套的“绿岛”类项目除外）；禁止引入涉及含氰电镀、含氰沉锌工艺的项目。新建含涉重电镀工序的企业必须进入涉重园区，工艺、装备、清洁生产水平基本达到国际先进水平。开展装备制造行业的VOCs专项整治。2023年底前，现有园区外含涉重电镀工序企业完成限期整改或搬迁入园；建成一批电镀行业“绿岛”示范工程。</w:t>
                  </w:r>
                </w:p>
              </w:tc>
              <w:tc>
                <w:tcPr>
                  <w:tcW w:w="1371"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eastAsia="zh-CN"/>
                    </w:rPr>
                    <w:t>本项目为技改项目，不涉及</w:t>
                  </w:r>
                  <w:r>
                    <w:rPr>
                      <w:rFonts w:hint="eastAsia"/>
                      <w:color w:val="auto"/>
                      <w:sz w:val="18"/>
                      <w:szCs w:val="21"/>
                    </w:rPr>
                    <w:t>含氰电镀、含氰沉锌工艺</w:t>
                  </w:r>
                  <w:r>
                    <w:rPr>
                      <w:rFonts w:hint="eastAsia"/>
                      <w:color w:val="auto"/>
                      <w:sz w:val="18"/>
                      <w:szCs w:val="21"/>
                      <w:lang w:eastAsia="zh-CN"/>
                    </w:rPr>
                    <w:t>，不涉及电镀，</w:t>
                  </w:r>
                  <w:r>
                    <w:rPr>
                      <w:rFonts w:hint="eastAsia"/>
                      <w:color w:val="auto"/>
                      <w:sz w:val="18"/>
                      <w:szCs w:val="21"/>
                    </w:rPr>
                    <w:t>工艺、装备、清洁生产水平基本达到国际先进水平</w:t>
                  </w:r>
                </w:p>
              </w:tc>
              <w:tc>
                <w:tcPr>
                  <w:tcW w:w="663"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01"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val="en-US" w:eastAsia="zh-CN"/>
                    </w:rPr>
                    <w:t>2</w:t>
                  </w:r>
                </w:p>
              </w:tc>
              <w:tc>
                <w:tcPr>
                  <w:tcW w:w="710"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优化空间布局</w:t>
                  </w:r>
                </w:p>
              </w:tc>
              <w:tc>
                <w:tcPr>
                  <w:tcW w:w="4015"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严格落实长江经济带“共抓大保护、不搞大开发”要求，坚持生态优先、绿色发展，突出沿江向沿海布局、区外分散向园区集聚的总体方向。结合国土空间规划编制，优化重点产业空间格局；协调江海河关系，加大生态保护力度，凸显江海生态资源特色，建设品质优良的长江口生态区；综合考量不同区域资源环境承载能力，兼顾不同领域和行业发展特点，注重差异化发展，引导不同区域打造特色产业园区。</w:t>
                  </w:r>
                </w:p>
              </w:tc>
              <w:tc>
                <w:tcPr>
                  <w:tcW w:w="1371" w:type="dxa"/>
                  <w:noWrap w:val="0"/>
                  <w:vAlign w:val="center"/>
                </w:tcPr>
                <w:p>
                  <w:pPr>
                    <w:tabs>
                      <w:tab w:val="left" w:pos="6379"/>
                    </w:tabs>
                    <w:overflowPunct w:val="0"/>
                    <w:adjustRightInd w:val="0"/>
                    <w:snapToGrid w:val="0"/>
                    <w:jc w:val="center"/>
                    <w:rPr>
                      <w:rFonts w:hint="default"/>
                      <w:color w:val="auto"/>
                      <w:sz w:val="18"/>
                      <w:szCs w:val="21"/>
                      <w:lang w:val="en-US"/>
                    </w:rPr>
                  </w:pPr>
                  <w:r>
                    <w:rPr>
                      <w:rFonts w:hint="eastAsia"/>
                      <w:color w:val="auto"/>
                      <w:sz w:val="18"/>
                      <w:szCs w:val="21"/>
                    </w:rPr>
                    <w:t>本项目位于</w:t>
                  </w:r>
                  <w:r>
                    <w:rPr>
                      <w:rFonts w:hint="eastAsia"/>
                      <w:color w:val="auto"/>
                      <w:sz w:val="18"/>
                      <w:szCs w:val="18"/>
                      <w:lang w:eastAsia="zh-CN"/>
                    </w:rPr>
                    <w:t>启东经济开发区人民西路</w:t>
                  </w:r>
                  <w:r>
                    <w:rPr>
                      <w:rFonts w:hint="eastAsia"/>
                      <w:color w:val="auto"/>
                      <w:sz w:val="18"/>
                      <w:szCs w:val="18"/>
                      <w:lang w:val="en-US" w:eastAsia="zh-CN"/>
                    </w:rPr>
                    <w:t>3333号</w:t>
                  </w:r>
                </w:p>
              </w:tc>
              <w:tc>
                <w:tcPr>
                  <w:tcW w:w="663" w:type="dxa"/>
                  <w:noWrap w:val="0"/>
                  <w:vAlign w:val="center"/>
                </w:tcPr>
                <w:p>
                  <w:pPr>
                    <w:tabs>
                      <w:tab w:val="left" w:pos="6379"/>
                    </w:tabs>
                    <w:overflowPunct w:val="0"/>
                    <w:adjustRightInd w:val="0"/>
                    <w:snapToGrid w:val="0"/>
                    <w:jc w:val="center"/>
                    <w:rPr>
                      <w:color w:val="auto"/>
                      <w:sz w:val="18"/>
                      <w:szCs w:val="21"/>
                    </w:rPr>
                  </w:pPr>
                  <w:r>
                    <w:rPr>
                      <w:color w:val="auto"/>
                      <w:sz w:val="18"/>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1"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val="en-US" w:eastAsia="zh-CN"/>
                    </w:rPr>
                    <w:t>3</w:t>
                  </w:r>
                </w:p>
              </w:tc>
              <w:tc>
                <w:tcPr>
                  <w:tcW w:w="710"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推进低碳发展</w:t>
                  </w:r>
                </w:p>
              </w:tc>
              <w:tc>
                <w:tcPr>
                  <w:tcW w:w="4015"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编制全市碳达峰行动方案，发改、工信、交通、住建等部门编制专项达峰方案，10个县（市、区）分别制定县级达峰落实方案，开展电力、化工、纺织印染等N个重点行业达峰研究，着力构建“1+4+10+N”方案体系。推行高效能、低能耗、可循环、少排放的绿色生产模式。优化能源结构，减少煤炭消费比重。完善政策措施，充分发挥市场机制的决定性作用，加快碳市场建设，降低经济的碳强度。</w:t>
                  </w:r>
                </w:p>
              </w:tc>
              <w:tc>
                <w:tcPr>
                  <w:tcW w:w="1371"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本项目使用电能，不涉及锅炉，不属于高耗能、高排放项目。</w:t>
                  </w:r>
                </w:p>
              </w:tc>
              <w:tc>
                <w:tcPr>
                  <w:tcW w:w="663" w:type="dxa"/>
                  <w:noWrap w:val="0"/>
                  <w:vAlign w:val="center"/>
                </w:tcPr>
                <w:p>
                  <w:pPr>
                    <w:tabs>
                      <w:tab w:val="left" w:pos="6379"/>
                    </w:tabs>
                    <w:overflowPunct w:val="0"/>
                    <w:adjustRightInd w:val="0"/>
                    <w:snapToGrid w:val="0"/>
                    <w:jc w:val="center"/>
                    <w:rPr>
                      <w:color w:val="auto"/>
                      <w:sz w:val="18"/>
                      <w:szCs w:val="21"/>
                    </w:rPr>
                  </w:pPr>
                  <w:r>
                    <w:rPr>
                      <w:color w:val="auto"/>
                      <w:sz w:val="18"/>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01"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val="en-US" w:eastAsia="zh-CN"/>
                    </w:rPr>
                    <w:t>4</w:t>
                  </w:r>
                </w:p>
              </w:tc>
              <w:tc>
                <w:tcPr>
                  <w:tcW w:w="710"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建设生态园区</w:t>
                  </w:r>
                </w:p>
              </w:tc>
              <w:tc>
                <w:tcPr>
                  <w:tcW w:w="4015"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推动园区产业向“专精特优”方向发展。引导每个省级以上园区重点打造1—2个特色主导产业、1—2个新兴产业。实施园区循环化改造，推动企业循环式生产、产业循环式组合，搭建资源共享、废物处理公共平台，提高能源资源综合利用效率。推动园区基础公共设施共建共享、能源梯级利用、资源循环利用和污染物集中安全处置等。因地制宜布局污水资源化利用设施，提高水重复利用率。</w:t>
                  </w:r>
                </w:p>
              </w:tc>
              <w:tc>
                <w:tcPr>
                  <w:tcW w:w="1371"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w:t>
                  </w:r>
                </w:p>
              </w:tc>
              <w:tc>
                <w:tcPr>
                  <w:tcW w:w="663"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1"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val="en-US" w:eastAsia="zh-CN"/>
                    </w:rPr>
                    <w:t>5</w:t>
                  </w:r>
                </w:p>
              </w:tc>
              <w:tc>
                <w:tcPr>
                  <w:tcW w:w="710"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打造绿色产业</w:t>
                  </w:r>
                </w:p>
              </w:tc>
              <w:tc>
                <w:tcPr>
                  <w:tcW w:w="4015"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加强长三角互动协同，实施新兴产业培育工程，重点培育生物医药和高端医疗器械、航天航空装备产业、轨交装备产业等种子产业。围绕海上风能、高效光伏制造、智能电网、储能、生物能源、智能汽车等重点领域，培育一批引领绿色产业发展的新能源装备制造领军企业。加快推进新一代信息技术、现代生命科学等高端产业发展。积极布局上下游，形成具有较强竞争力的千亿级绿色产业集群。</w:t>
                  </w:r>
                </w:p>
              </w:tc>
              <w:tc>
                <w:tcPr>
                  <w:tcW w:w="1371"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w:t>
                  </w:r>
                </w:p>
              </w:tc>
              <w:tc>
                <w:tcPr>
                  <w:tcW w:w="663"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401"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val="en-US" w:eastAsia="zh-CN"/>
                    </w:rPr>
                    <w:t>6</w:t>
                  </w:r>
                </w:p>
              </w:tc>
              <w:tc>
                <w:tcPr>
                  <w:tcW w:w="710"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强制清洁生产</w:t>
                  </w:r>
                </w:p>
              </w:tc>
              <w:tc>
                <w:tcPr>
                  <w:tcW w:w="4015"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在重点行业现有企业全面推行强制性清洁生产审核，提高精细化管理水平，推广节水技术，改进生产工艺，降低能耗、减少污染排放。鼓励集成电路封装、电子专用材料制造等重点排放企业开展中水回用示范工程，力争将非金属传统行业环境绩效提升至清洁生产Ⅰ级标准。将国际国内清洁生产一流标准作为新项目招引、落户、审批的关键因素。完善“散乱污”企业认定办法，分类实施关停取缔、整改提升。</w:t>
                  </w:r>
                </w:p>
              </w:tc>
              <w:tc>
                <w:tcPr>
                  <w:tcW w:w="1371"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项目产生“三废”均有效治理；不涉及“散乱污”问题。</w:t>
                  </w:r>
                </w:p>
              </w:tc>
              <w:tc>
                <w:tcPr>
                  <w:tcW w:w="663" w:type="dxa"/>
                  <w:noWrap w:val="0"/>
                  <w:vAlign w:val="center"/>
                </w:tcPr>
                <w:p>
                  <w:pPr>
                    <w:tabs>
                      <w:tab w:val="left" w:pos="6379"/>
                    </w:tabs>
                    <w:overflowPunct w:val="0"/>
                    <w:adjustRightInd w:val="0"/>
                    <w:snapToGrid w:val="0"/>
                    <w:jc w:val="center"/>
                    <w:rPr>
                      <w:color w:val="auto"/>
                      <w:sz w:val="18"/>
                      <w:szCs w:val="21"/>
                    </w:rPr>
                  </w:pPr>
                  <w:r>
                    <w:rPr>
                      <w:color w:val="auto"/>
                      <w:sz w:val="18"/>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1"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val="en-US" w:eastAsia="zh-CN"/>
                    </w:rPr>
                    <w:t>7</w:t>
                  </w:r>
                </w:p>
              </w:tc>
              <w:tc>
                <w:tcPr>
                  <w:tcW w:w="710"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严守准入门槛</w:t>
                  </w:r>
                  <w:r>
                    <w:rPr>
                      <w:color w:val="auto"/>
                      <w:sz w:val="18"/>
                      <w:szCs w:val="21"/>
                    </w:rPr>
                    <w:cr/>
                  </w:r>
                </w:p>
              </w:tc>
              <w:tc>
                <w:tcPr>
                  <w:tcW w:w="4015"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全面深化“三线一单”管控方案、细化管控单元及行业准入条件，建立重点产业项目准入机制，优化产业发展。严格执行《长江经济带发展负面清单指南（试行）》及江苏省实施细则、国家生态保护红线及江苏省生态空间管控区域规划。强化项目可研、环评、安评、能评、稳评等许可（备案）联动，严控高能耗高排放建设、严禁高污染不安全项目落地。</w:t>
                  </w:r>
                  <w:r>
                    <w:rPr>
                      <w:color w:val="auto"/>
                      <w:sz w:val="18"/>
                      <w:szCs w:val="21"/>
                    </w:rPr>
                    <w:cr/>
                  </w:r>
                </w:p>
              </w:tc>
              <w:tc>
                <w:tcPr>
                  <w:tcW w:w="1371"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本项目符合“三线一单”管控要求；与《长江经济带发展负面清单指南（试行）》及江苏省实施细则、国家生态保护红线及江苏省生态空间管控区域规划相符。</w:t>
                  </w:r>
                  <w:r>
                    <w:rPr>
                      <w:color w:val="auto"/>
                      <w:sz w:val="18"/>
                      <w:szCs w:val="21"/>
                    </w:rPr>
                    <w:cr/>
                  </w:r>
                </w:p>
              </w:tc>
              <w:tc>
                <w:tcPr>
                  <w:tcW w:w="663" w:type="dxa"/>
                  <w:noWrap w:val="0"/>
                  <w:vAlign w:val="center"/>
                </w:tcPr>
                <w:p>
                  <w:pPr>
                    <w:tabs>
                      <w:tab w:val="left" w:pos="6379"/>
                    </w:tabs>
                    <w:overflowPunct w:val="0"/>
                    <w:adjustRightInd w:val="0"/>
                    <w:snapToGrid w:val="0"/>
                    <w:jc w:val="center"/>
                    <w:rPr>
                      <w:color w:val="auto"/>
                      <w:sz w:val="18"/>
                      <w:szCs w:val="21"/>
                    </w:rPr>
                  </w:pPr>
                  <w:r>
                    <w:rPr>
                      <w:color w:val="auto"/>
                      <w:sz w:val="18"/>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1"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val="en-US" w:eastAsia="zh-CN"/>
                    </w:rPr>
                    <w:t>8</w:t>
                  </w:r>
                </w:p>
              </w:tc>
              <w:tc>
                <w:tcPr>
                  <w:tcW w:w="710"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鼓励科技创新</w:t>
                  </w:r>
                </w:p>
              </w:tc>
              <w:tc>
                <w:tcPr>
                  <w:tcW w:w="4015"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健全以企业为主体的产学研用协同创新体系，推动“揭榜挂帅”攻坚计划项目，支持联合攻关。培育科技创新企业，强化平台载体建设，深化开发合作创新，广聚创新创业人才，加强知识产权保护。加强节能降耗、清洁生产、污染治理、循环利用等领域的技术创新和成果转化，大力推进原始创新和集成创新。增强创新储备，提升创新全链条支撑能力，为实现重大创新突破，培育高端产业奠定重要基础。</w:t>
                  </w:r>
                </w:p>
              </w:tc>
              <w:tc>
                <w:tcPr>
                  <w:tcW w:w="1371"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w:t>
                  </w:r>
                </w:p>
              </w:tc>
              <w:tc>
                <w:tcPr>
                  <w:tcW w:w="663"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1" w:type="dxa"/>
                  <w:noWrap w:val="0"/>
                  <w:vAlign w:val="center"/>
                </w:tcPr>
                <w:p>
                  <w:pPr>
                    <w:tabs>
                      <w:tab w:val="left" w:pos="6379"/>
                    </w:tabs>
                    <w:overflowPunct w:val="0"/>
                    <w:adjustRightInd w:val="0"/>
                    <w:snapToGrid w:val="0"/>
                    <w:jc w:val="center"/>
                    <w:rPr>
                      <w:rFonts w:hint="eastAsia" w:eastAsia="宋体"/>
                      <w:color w:val="auto"/>
                      <w:sz w:val="18"/>
                      <w:szCs w:val="21"/>
                      <w:lang w:eastAsia="zh-CN"/>
                    </w:rPr>
                  </w:pPr>
                  <w:r>
                    <w:rPr>
                      <w:rFonts w:hint="eastAsia"/>
                      <w:color w:val="auto"/>
                      <w:sz w:val="18"/>
                      <w:szCs w:val="21"/>
                      <w:lang w:val="en-US" w:eastAsia="zh-CN"/>
                    </w:rPr>
                    <w:t>9</w:t>
                  </w:r>
                </w:p>
              </w:tc>
              <w:tc>
                <w:tcPr>
                  <w:tcW w:w="710"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构建绿色供应链</w:t>
                  </w:r>
                </w:p>
              </w:tc>
              <w:tc>
                <w:tcPr>
                  <w:tcW w:w="4015"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加快建设绿色制造体系，实施一批绿色制造示范项目，打造一批具有示范带动作用的绿色工厂和绿色供应链。鼓励企业开展绿色设计、选择绿色材料、实施绿色采购、打造绿色制造工艺、推行绿色包装、开展绿色运输、做好废弃产品回收处理，实现产品全周期的绿色环保。鼓励行业协会通过制定规范、咨询服务、行业自律等方式提高行业供应链绿色化水平。</w:t>
                  </w:r>
                </w:p>
              </w:tc>
              <w:tc>
                <w:tcPr>
                  <w:tcW w:w="1371"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项目产生“三废”均有效治理</w:t>
                  </w:r>
                </w:p>
              </w:tc>
              <w:tc>
                <w:tcPr>
                  <w:tcW w:w="663" w:type="dxa"/>
                  <w:noWrap w:val="0"/>
                  <w:vAlign w:val="center"/>
                </w:tcPr>
                <w:p>
                  <w:pPr>
                    <w:tabs>
                      <w:tab w:val="left" w:pos="6379"/>
                    </w:tabs>
                    <w:overflowPunct w:val="0"/>
                    <w:adjustRightInd w:val="0"/>
                    <w:snapToGrid w:val="0"/>
                    <w:jc w:val="center"/>
                    <w:rPr>
                      <w:color w:val="auto"/>
                      <w:sz w:val="18"/>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1" w:type="dxa"/>
                  <w:noWrap w:val="0"/>
                  <w:vAlign w:val="center"/>
                </w:tcPr>
                <w:p>
                  <w:pPr>
                    <w:tabs>
                      <w:tab w:val="left" w:pos="6379"/>
                    </w:tabs>
                    <w:overflowPunct w:val="0"/>
                    <w:adjustRightInd w:val="0"/>
                    <w:snapToGrid w:val="0"/>
                    <w:jc w:val="center"/>
                    <w:rPr>
                      <w:rFonts w:hint="default" w:eastAsia="宋体"/>
                      <w:color w:val="auto"/>
                      <w:sz w:val="18"/>
                      <w:szCs w:val="21"/>
                      <w:lang w:val="en-US" w:eastAsia="zh-CN"/>
                    </w:rPr>
                  </w:pPr>
                  <w:r>
                    <w:rPr>
                      <w:rFonts w:hint="eastAsia"/>
                      <w:color w:val="auto"/>
                      <w:sz w:val="18"/>
                      <w:szCs w:val="21"/>
                      <w:lang w:val="en-US" w:eastAsia="zh-CN"/>
                    </w:rPr>
                    <w:t>10</w:t>
                  </w:r>
                </w:p>
              </w:tc>
              <w:tc>
                <w:tcPr>
                  <w:tcW w:w="710"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强化绿色信用</w:t>
                  </w:r>
                </w:p>
              </w:tc>
              <w:tc>
                <w:tcPr>
                  <w:tcW w:w="4015"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进一步完善企业环境信用评价标准，优化环保示范性企事业单位评价体系，不断扩大参评企业范围，有效发挥绿色信贷约束机制，以企业环境信用倒逼企业环保自觉、提升环境管理水平。推广“环保脸谱”体系建设与运用。积极探索在政府采购、招投标等领域运用评级结果。扩大环保信用信息的流动范围，挖掘应用价值，引导市场监管、海关等部门对环境信用好的企业激励扶持。积极拓展证券、保险等部门的参与，以环保信用评级为平台，更好地拓展绿色金融工作。</w:t>
                  </w:r>
                </w:p>
              </w:tc>
              <w:tc>
                <w:tcPr>
                  <w:tcW w:w="1371"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w:t>
                  </w:r>
                </w:p>
              </w:tc>
              <w:tc>
                <w:tcPr>
                  <w:tcW w:w="663"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1" w:type="dxa"/>
                  <w:noWrap w:val="0"/>
                  <w:vAlign w:val="center"/>
                </w:tcPr>
                <w:p>
                  <w:pPr>
                    <w:tabs>
                      <w:tab w:val="left" w:pos="6379"/>
                    </w:tabs>
                    <w:overflowPunct w:val="0"/>
                    <w:adjustRightInd w:val="0"/>
                    <w:snapToGrid w:val="0"/>
                    <w:jc w:val="center"/>
                    <w:rPr>
                      <w:rFonts w:hint="default" w:eastAsia="宋体"/>
                      <w:color w:val="auto"/>
                      <w:sz w:val="18"/>
                      <w:szCs w:val="21"/>
                      <w:lang w:val="en-US" w:eastAsia="zh-CN"/>
                    </w:rPr>
                  </w:pPr>
                  <w:r>
                    <w:rPr>
                      <w:rFonts w:hint="eastAsia"/>
                      <w:color w:val="auto"/>
                      <w:sz w:val="18"/>
                      <w:szCs w:val="21"/>
                      <w:lang w:val="en-US" w:eastAsia="zh-CN"/>
                    </w:rPr>
                    <w:t>11</w:t>
                  </w:r>
                </w:p>
              </w:tc>
              <w:tc>
                <w:tcPr>
                  <w:tcW w:w="710"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制定绿色标准</w:t>
                  </w:r>
                </w:p>
              </w:tc>
              <w:tc>
                <w:tcPr>
                  <w:tcW w:w="4015"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推进纳入“三线一单”管控单元的各级各类工业园区（集中区）污染物排放限值管理，提高生态环境精细化监管水平，强化源头管控和末端污染治理，从严执行污染物排放标准，加快实施重点行业超低、超净排放改造。强化环评审批与总量控制、排污权交易与排污许可制度的衔接，将有限的环境要素资源向绿色友好产业倾斜。鼓励探索环境管家、绿色联盟、第三方环境服务等创新发展模式，推广绿色整体服务和全过程服务。</w:t>
                  </w:r>
                </w:p>
              </w:tc>
              <w:tc>
                <w:tcPr>
                  <w:tcW w:w="1371" w:type="dxa"/>
                  <w:noWrap w:val="0"/>
                  <w:vAlign w:val="center"/>
                </w:tcPr>
                <w:p>
                  <w:pPr>
                    <w:tabs>
                      <w:tab w:val="left" w:pos="6379"/>
                    </w:tabs>
                    <w:overflowPunct w:val="0"/>
                    <w:adjustRightInd w:val="0"/>
                    <w:snapToGrid w:val="0"/>
                    <w:jc w:val="center"/>
                    <w:rPr>
                      <w:color w:val="auto"/>
                      <w:sz w:val="18"/>
                      <w:szCs w:val="21"/>
                    </w:rPr>
                  </w:pPr>
                  <w:r>
                    <w:rPr>
                      <w:rFonts w:hint="eastAsia"/>
                      <w:color w:val="auto"/>
                      <w:sz w:val="18"/>
                      <w:szCs w:val="21"/>
                    </w:rPr>
                    <w:t>本项目符合“三线一单”管控要求</w:t>
                  </w:r>
                </w:p>
              </w:tc>
              <w:tc>
                <w:tcPr>
                  <w:tcW w:w="663" w:type="dxa"/>
                  <w:noWrap w:val="0"/>
                  <w:vAlign w:val="center"/>
                </w:tcPr>
                <w:p>
                  <w:pPr>
                    <w:tabs>
                      <w:tab w:val="left" w:pos="6379"/>
                    </w:tabs>
                    <w:overflowPunct w:val="0"/>
                    <w:adjustRightInd w:val="0"/>
                    <w:snapToGrid w:val="0"/>
                    <w:jc w:val="center"/>
                    <w:rPr>
                      <w:color w:val="auto"/>
                      <w:sz w:val="18"/>
                      <w:szCs w:val="21"/>
                    </w:rPr>
                  </w:pPr>
                  <w:r>
                    <w:rPr>
                      <w:color w:val="auto"/>
                      <w:sz w:val="18"/>
                      <w:szCs w:val="21"/>
                    </w:rPr>
                    <w:t>符合</w:t>
                  </w:r>
                </w:p>
              </w:tc>
            </w:tr>
          </w:tbl>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default"/>
                <w:b/>
                <w:bCs/>
                <w:lang w:val="en-US" w:eastAsia="zh-CN"/>
              </w:rPr>
            </w:pPr>
            <w:r>
              <w:rPr>
                <w:rFonts w:hint="eastAsia"/>
                <w:b/>
                <w:bCs/>
                <w:lang w:val="en-US" w:eastAsia="zh-CN"/>
              </w:rPr>
              <w:t>14、与《关于做好生态环境和应急管理部门联动的工作的意见》（苏环办【2020】101号）相符性分析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lang w:val="en-US" w:eastAsia="zh-CN"/>
              </w:rPr>
            </w:pPr>
            <w:r>
              <w:rPr>
                <w:rFonts w:hint="eastAsia"/>
                <w:b/>
                <w:bCs/>
                <w:lang w:eastAsia="zh-CN"/>
              </w:rPr>
              <w:t>表</w:t>
            </w:r>
            <w:r>
              <w:rPr>
                <w:rFonts w:hint="eastAsia"/>
                <w:b/>
                <w:bCs/>
                <w:lang w:val="en-US" w:eastAsia="zh-CN"/>
              </w:rPr>
              <w:t>1-12 与苏环办【2020】101号）相符性分析</w:t>
            </w:r>
          </w:p>
          <w:tbl>
            <w:tblPr>
              <w:tblStyle w:val="12"/>
              <w:tblW w:w="703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2984"/>
              <w:gridCol w:w="7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51"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相关内容</w:t>
                  </w:r>
                </w:p>
              </w:tc>
              <w:tc>
                <w:tcPr>
                  <w:tcW w:w="2984"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本项目</w:t>
                  </w:r>
                </w:p>
              </w:tc>
              <w:tc>
                <w:tcPr>
                  <w:tcW w:w="796"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51"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二、建立危险废物监管联动机制：企业要切实履行好从危险废物产生、收集、贮存、运输、利用、处置等环节各项环保和安全职责；要制定危险废物管理计划并报属地生态环境部门备案</w:t>
                  </w:r>
                </w:p>
              </w:tc>
              <w:tc>
                <w:tcPr>
                  <w:tcW w:w="2984"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项目产生的危险废物经收集后暂存危废库，定期交由有资质单位处置，在产生、收集、贮存、运输过程中各项环保措施均已落实，同时投产后，每年制定危险废物管理计划并报属地生态环境部门备案。</w:t>
                  </w:r>
                </w:p>
              </w:tc>
              <w:tc>
                <w:tcPr>
                  <w:tcW w:w="796"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51"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三、建立环境治理设施监管联动机制：企业要对脱硫脱硝、煤改气、挥发性有机物回收、污水处理、粉尘治理、RTO焚烧炉等六类环境治理设施开展安全风险辨识管控，要健全内部污染防治设施稳定运行和管理责任制度,严格依据标准规范建设环境治理设施,确保环境治理设施安全、稳定、有效运行。</w:t>
                  </w:r>
                </w:p>
              </w:tc>
              <w:tc>
                <w:tcPr>
                  <w:tcW w:w="2984"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项目不涉及脱硫脱硝、煤改气、RTO焚烧炉，</w:t>
                  </w:r>
                  <w:r>
                    <w:rPr>
                      <w:rFonts w:hint="eastAsia"/>
                      <w:color w:val="auto"/>
                      <w:sz w:val="18"/>
                      <w:szCs w:val="18"/>
                      <w:lang w:eastAsia="zh-CN"/>
                    </w:rPr>
                    <w:t>项目粉尘经干式过滤器进行处理</w:t>
                  </w:r>
                  <w:r>
                    <w:rPr>
                      <w:rFonts w:hint="eastAsia"/>
                      <w:color w:val="auto"/>
                      <w:sz w:val="18"/>
                      <w:szCs w:val="18"/>
                      <w:lang w:val="en-US" w:eastAsia="zh-CN"/>
                    </w:rPr>
                    <w:t>；</w:t>
                  </w:r>
                  <w:r>
                    <w:rPr>
                      <w:rFonts w:hint="eastAsia"/>
                      <w:color w:val="auto"/>
                      <w:sz w:val="18"/>
                      <w:szCs w:val="18"/>
                      <w:lang w:eastAsia="zh-CN"/>
                    </w:rPr>
                    <w:t>挥发性有机物采用二级活性炭吸附装置，废活性炭存放在危废库内，定期交由有资质单位处置。</w:t>
                  </w:r>
                </w:p>
              </w:tc>
              <w:tc>
                <w:tcPr>
                  <w:tcW w:w="796" w:type="dxa"/>
                  <w:tcBorders>
                    <w:tl2br w:val="nil"/>
                    <w:tr2bl w:val="nil"/>
                  </w:tcBorders>
                  <w:vAlign w:val="center"/>
                </w:tcPr>
                <w:p>
                  <w:pPr>
                    <w:bidi w:val="0"/>
                    <w:jc w:val="center"/>
                    <w:rPr>
                      <w:rFonts w:hint="eastAsia"/>
                      <w:sz w:val="18"/>
                      <w:szCs w:val="18"/>
                      <w:lang w:eastAsia="zh-CN"/>
                    </w:rPr>
                  </w:pPr>
                  <w:r>
                    <w:rPr>
                      <w:rFonts w:hint="eastAsia"/>
                      <w:sz w:val="18"/>
                      <w:szCs w:val="18"/>
                      <w:lang w:eastAsia="zh-CN"/>
                    </w:rPr>
                    <w:t>符合</w:t>
                  </w:r>
                </w:p>
              </w:tc>
            </w:tr>
          </w:tbl>
          <w:p>
            <w:pPr>
              <w:pStyle w:val="2"/>
              <w:spacing w:after="0" w:line="360" w:lineRule="auto"/>
              <w:ind w:firstLine="422" w:firstLineChars="200"/>
              <w:rPr>
                <w:rFonts w:ascii="Times New Roman" w:hAnsi="Times New Roman"/>
                <w:bCs/>
                <w:color w:val="auto"/>
                <w:szCs w:val="21"/>
                <w:highlight w:val="none"/>
              </w:rPr>
            </w:pPr>
            <w:r>
              <w:rPr>
                <w:rFonts w:hint="eastAsia" w:ascii="Times New Roman" w:hAnsi="Times New Roman"/>
                <w:b/>
                <w:bCs/>
                <w:color w:val="auto"/>
                <w:sz w:val="21"/>
                <w:szCs w:val="24"/>
                <w:highlight w:val="none"/>
              </w:rPr>
              <w:t>1</w:t>
            </w:r>
            <w:r>
              <w:rPr>
                <w:rFonts w:hint="eastAsia" w:ascii="Times New Roman" w:hAnsi="Times New Roman"/>
                <w:b/>
                <w:bCs/>
                <w:color w:val="auto"/>
                <w:sz w:val="21"/>
                <w:szCs w:val="24"/>
                <w:highlight w:val="none"/>
                <w:lang w:val="en-US" w:eastAsia="zh-CN"/>
              </w:rPr>
              <w:t>2</w:t>
            </w:r>
            <w:r>
              <w:rPr>
                <w:rFonts w:hint="eastAsia" w:ascii="Times New Roman" w:hAnsi="Times New Roman"/>
                <w:b/>
                <w:bCs/>
                <w:color w:val="auto"/>
                <w:sz w:val="21"/>
                <w:szCs w:val="24"/>
                <w:highlight w:val="none"/>
              </w:rPr>
              <w:t>、与《江苏省工业废水与生活污水分质处理工作推进方案》</w:t>
            </w:r>
            <w:r>
              <w:rPr>
                <w:rFonts w:hint="eastAsia" w:ascii="Times New Roman" w:hAnsi="Times New Roman"/>
                <w:b/>
                <w:bCs/>
                <w:color w:val="auto"/>
                <w:sz w:val="21"/>
                <w:szCs w:val="24"/>
                <w:highlight w:val="none"/>
                <w:lang w:eastAsia="zh-CN"/>
              </w:rPr>
              <w:t>（苏环办</w:t>
            </w:r>
            <w:r>
              <w:rPr>
                <w:rFonts w:hint="eastAsia" w:ascii="宋体" w:hAnsi="宋体" w:eastAsia="宋体" w:cs="宋体"/>
                <w:b/>
                <w:bCs/>
                <w:color w:val="auto"/>
                <w:sz w:val="21"/>
                <w:szCs w:val="24"/>
                <w:highlight w:val="none"/>
                <w:lang w:eastAsia="zh-CN"/>
              </w:rPr>
              <w:t>﹝</w:t>
            </w:r>
            <w:r>
              <w:rPr>
                <w:rFonts w:hint="eastAsia" w:ascii="宋体" w:hAnsi="宋体" w:eastAsia="宋体" w:cs="宋体"/>
                <w:b/>
                <w:bCs/>
                <w:color w:val="auto"/>
                <w:sz w:val="21"/>
                <w:szCs w:val="24"/>
                <w:highlight w:val="none"/>
                <w:lang w:val="en-US" w:eastAsia="zh-CN"/>
              </w:rPr>
              <w:t>2023</w:t>
            </w:r>
            <w:r>
              <w:rPr>
                <w:rFonts w:hint="eastAsia" w:ascii="宋体" w:hAnsi="宋体" w:eastAsia="宋体" w:cs="宋体"/>
                <w:b/>
                <w:bCs/>
                <w:color w:val="auto"/>
                <w:sz w:val="21"/>
                <w:szCs w:val="24"/>
                <w:highlight w:val="none"/>
                <w:lang w:eastAsia="zh-CN"/>
              </w:rPr>
              <w:t>﹞</w:t>
            </w:r>
            <w:r>
              <w:rPr>
                <w:rFonts w:hint="eastAsia" w:ascii="宋体" w:hAnsi="宋体" w:eastAsia="宋体" w:cs="宋体"/>
                <w:b/>
                <w:bCs/>
                <w:color w:val="auto"/>
                <w:sz w:val="21"/>
                <w:szCs w:val="24"/>
                <w:highlight w:val="none"/>
                <w:lang w:val="en-US" w:eastAsia="zh-CN"/>
              </w:rPr>
              <w:t>144号</w:t>
            </w:r>
            <w:r>
              <w:rPr>
                <w:rFonts w:hint="eastAsia" w:ascii="Times New Roman" w:hAnsi="Times New Roman"/>
                <w:b/>
                <w:bCs/>
                <w:color w:val="auto"/>
                <w:sz w:val="21"/>
                <w:szCs w:val="24"/>
                <w:highlight w:val="none"/>
                <w:lang w:eastAsia="zh-CN"/>
              </w:rPr>
              <w:t>）</w:t>
            </w:r>
            <w:r>
              <w:rPr>
                <w:rFonts w:hint="eastAsia" w:ascii="Times New Roman" w:hAnsi="Times New Roman"/>
                <w:b/>
                <w:bCs/>
                <w:color w:val="auto"/>
                <w:sz w:val="21"/>
                <w:szCs w:val="24"/>
                <w:highlight w:val="none"/>
              </w:rPr>
              <w:t>相符性分析</w:t>
            </w:r>
          </w:p>
          <w:p>
            <w:pPr>
              <w:spacing w:line="360" w:lineRule="auto"/>
              <w:jc w:val="center"/>
              <w:rPr>
                <w:b/>
                <w:bCs/>
                <w:color w:val="auto"/>
                <w:highlight w:val="none"/>
              </w:rPr>
            </w:pPr>
            <w:r>
              <w:rPr>
                <w:b/>
                <w:bCs/>
                <w:color w:val="auto"/>
                <w:highlight w:val="none"/>
              </w:rPr>
              <w:t>表1-</w:t>
            </w:r>
            <w:r>
              <w:rPr>
                <w:rFonts w:hint="eastAsia"/>
                <w:b/>
                <w:bCs/>
                <w:color w:val="auto"/>
                <w:highlight w:val="none"/>
                <w:lang w:val="en-US" w:eastAsia="zh-CN"/>
              </w:rPr>
              <w:t>13</w:t>
            </w:r>
            <w:r>
              <w:rPr>
                <w:b/>
                <w:bCs/>
                <w:color w:val="auto"/>
                <w:highlight w:val="none"/>
              </w:rPr>
              <w:t>与</w:t>
            </w:r>
            <w:r>
              <w:rPr>
                <w:rFonts w:hint="eastAsia"/>
                <w:b/>
                <w:bCs/>
                <w:color w:val="auto"/>
                <w:highlight w:val="none"/>
              </w:rPr>
              <w:t>《江苏省工业废水与生活污水分质处理工作推进方案》</w:t>
            </w:r>
            <w:r>
              <w:rPr>
                <w:rFonts w:hint="eastAsia" w:ascii="Times New Roman" w:hAnsi="Times New Roman"/>
                <w:b/>
                <w:bCs/>
                <w:color w:val="auto"/>
                <w:sz w:val="21"/>
                <w:szCs w:val="24"/>
                <w:highlight w:val="none"/>
                <w:lang w:eastAsia="zh-CN"/>
              </w:rPr>
              <w:t>（苏环办</w:t>
            </w:r>
            <w:r>
              <w:rPr>
                <w:rFonts w:hint="eastAsia" w:ascii="宋体" w:hAnsi="宋体" w:eastAsia="宋体" w:cs="宋体"/>
                <w:b/>
                <w:bCs/>
                <w:color w:val="auto"/>
                <w:sz w:val="21"/>
                <w:szCs w:val="24"/>
                <w:highlight w:val="none"/>
                <w:lang w:eastAsia="zh-CN"/>
              </w:rPr>
              <w:t>﹝</w:t>
            </w:r>
            <w:r>
              <w:rPr>
                <w:rFonts w:hint="eastAsia" w:ascii="宋体" w:hAnsi="宋体" w:eastAsia="宋体" w:cs="宋体"/>
                <w:b/>
                <w:bCs/>
                <w:color w:val="auto"/>
                <w:sz w:val="21"/>
                <w:szCs w:val="24"/>
                <w:highlight w:val="none"/>
                <w:lang w:val="en-US" w:eastAsia="zh-CN"/>
              </w:rPr>
              <w:t>2023</w:t>
            </w:r>
            <w:r>
              <w:rPr>
                <w:rFonts w:hint="eastAsia" w:ascii="宋体" w:hAnsi="宋体" w:eastAsia="宋体" w:cs="宋体"/>
                <w:b/>
                <w:bCs/>
                <w:color w:val="auto"/>
                <w:sz w:val="21"/>
                <w:szCs w:val="24"/>
                <w:highlight w:val="none"/>
                <w:lang w:eastAsia="zh-CN"/>
              </w:rPr>
              <w:t>﹞</w:t>
            </w:r>
            <w:r>
              <w:rPr>
                <w:rFonts w:hint="eastAsia" w:ascii="宋体" w:hAnsi="宋体" w:eastAsia="宋体" w:cs="宋体"/>
                <w:b/>
                <w:bCs/>
                <w:color w:val="auto"/>
                <w:sz w:val="21"/>
                <w:szCs w:val="24"/>
                <w:highlight w:val="none"/>
                <w:lang w:val="en-US" w:eastAsia="zh-CN"/>
              </w:rPr>
              <w:t>144号</w:t>
            </w:r>
            <w:r>
              <w:rPr>
                <w:rFonts w:hint="eastAsia" w:ascii="Times New Roman" w:hAnsi="Times New Roman"/>
                <w:b/>
                <w:bCs/>
                <w:color w:val="auto"/>
                <w:sz w:val="21"/>
                <w:szCs w:val="24"/>
                <w:highlight w:val="none"/>
                <w:lang w:eastAsia="zh-CN"/>
              </w:rPr>
              <w:t>）</w:t>
            </w:r>
            <w:r>
              <w:rPr>
                <w:rFonts w:hint="eastAsia"/>
                <w:b/>
                <w:bCs/>
                <w:color w:val="auto"/>
                <w:highlight w:val="none"/>
              </w:rPr>
              <w:t>相符性分析</w:t>
            </w:r>
          </w:p>
          <w:tbl>
            <w:tblPr>
              <w:tblStyle w:val="11"/>
              <w:tblW w:w="704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29"/>
              <w:gridCol w:w="1663"/>
              <w:gridCol w:w="8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29" w:type="dxa"/>
                  <w:noWrap/>
                  <w:vAlign w:val="center"/>
                </w:tcPr>
                <w:p>
                  <w:pPr>
                    <w:tabs>
                      <w:tab w:val="left" w:pos="6379"/>
                    </w:tabs>
                    <w:overflowPunct w:val="0"/>
                    <w:adjustRightInd w:val="0"/>
                    <w:snapToGrid w:val="0"/>
                    <w:jc w:val="center"/>
                    <w:rPr>
                      <w:b/>
                      <w:color w:val="auto"/>
                      <w:sz w:val="18"/>
                      <w:szCs w:val="21"/>
                      <w:highlight w:val="none"/>
                    </w:rPr>
                  </w:pPr>
                  <w:r>
                    <w:rPr>
                      <w:rFonts w:hint="eastAsia"/>
                      <w:b/>
                      <w:color w:val="auto"/>
                      <w:sz w:val="18"/>
                      <w:szCs w:val="21"/>
                      <w:highlight w:val="none"/>
                    </w:rPr>
                    <w:t>文件要求</w:t>
                  </w:r>
                </w:p>
              </w:tc>
              <w:tc>
                <w:tcPr>
                  <w:tcW w:w="1663" w:type="dxa"/>
                  <w:noWrap/>
                  <w:vAlign w:val="center"/>
                </w:tcPr>
                <w:p>
                  <w:pPr>
                    <w:tabs>
                      <w:tab w:val="left" w:pos="6379"/>
                    </w:tabs>
                    <w:overflowPunct w:val="0"/>
                    <w:adjustRightInd w:val="0"/>
                    <w:snapToGrid w:val="0"/>
                    <w:jc w:val="center"/>
                    <w:rPr>
                      <w:b/>
                      <w:color w:val="auto"/>
                      <w:sz w:val="18"/>
                      <w:szCs w:val="21"/>
                      <w:highlight w:val="none"/>
                    </w:rPr>
                  </w:pPr>
                  <w:r>
                    <w:rPr>
                      <w:b/>
                      <w:color w:val="auto"/>
                      <w:sz w:val="18"/>
                      <w:szCs w:val="21"/>
                      <w:highlight w:val="none"/>
                    </w:rPr>
                    <w:t>本项目情况</w:t>
                  </w:r>
                </w:p>
              </w:tc>
              <w:tc>
                <w:tcPr>
                  <w:tcW w:w="855" w:type="dxa"/>
                  <w:noWrap/>
                  <w:vAlign w:val="center"/>
                </w:tcPr>
                <w:p>
                  <w:pPr>
                    <w:tabs>
                      <w:tab w:val="left" w:pos="6379"/>
                    </w:tabs>
                    <w:overflowPunct w:val="0"/>
                    <w:adjustRightInd w:val="0"/>
                    <w:snapToGrid w:val="0"/>
                    <w:jc w:val="center"/>
                    <w:rPr>
                      <w:b/>
                      <w:color w:val="auto"/>
                      <w:sz w:val="18"/>
                      <w:szCs w:val="21"/>
                      <w:highlight w:val="none"/>
                    </w:rPr>
                  </w:pPr>
                  <w:r>
                    <w:rPr>
                      <w:b/>
                      <w:color w:val="auto"/>
                      <w:sz w:val="18"/>
                      <w:szCs w:val="21"/>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4529" w:type="dxa"/>
                  <w:noWrap/>
                  <w:vAlign w:val="center"/>
                </w:tcPr>
                <w:p>
                  <w:pPr>
                    <w:tabs>
                      <w:tab w:val="left" w:pos="6379"/>
                    </w:tabs>
                    <w:overflowPunct w:val="0"/>
                    <w:adjustRightInd w:val="0"/>
                    <w:snapToGrid w:val="0"/>
                    <w:jc w:val="both"/>
                    <w:rPr>
                      <w:color w:val="auto"/>
                      <w:sz w:val="18"/>
                      <w:szCs w:val="21"/>
                      <w:highlight w:val="none"/>
                    </w:rPr>
                  </w:pPr>
                  <w:r>
                    <w:rPr>
                      <w:rFonts w:hint="eastAsia"/>
                      <w:color w:val="auto"/>
                      <w:sz w:val="18"/>
                      <w:szCs w:val="21"/>
                      <w:highlight w:val="none"/>
                    </w:rPr>
                    <w:t>冶金、电镀、化工、印染、原料药制造(有工业废水处理资质且出水达到国家标准的原料药制造企业除外)等工业企业排放含重金属、难生化降解废水、高盐废水的，不得排入城镇污水集中收集处理设施。</w:t>
                  </w:r>
                </w:p>
              </w:tc>
              <w:tc>
                <w:tcPr>
                  <w:tcW w:w="1663" w:type="dxa"/>
                  <w:noWrap/>
                  <w:vAlign w:val="center"/>
                </w:tcPr>
                <w:p>
                  <w:pPr>
                    <w:tabs>
                      <w:tab w:val="left" w:pos="6379"/>
                    </w:tabs>
                    <w:overflowPunct w:val="0"/>
                    <w:adjustRightInd w:val="0"/>
                    <w:snapToGrid w:val="0"/>
                    <w:jc w:val="center"/>
                    <w:rPr>
                      <w:rFonts w:hint="eastAsia" w:eastAsia="宋体"/>
                      <w:color w:val="auto"/>
                      <w:sz w:val="18"/>
                      <w:szCs w:val="21"/>
                      <w:highlight w:val="none"/>
                      <w:lang w:eastAsia="zh-CN"/>
                    </w:rPr>
                  </w:pPr>
                  <w:r>
                    <w:rPr>
                      <w:rFonts w:hint="eastAsia"/>
                      <w:color w:val="auto"/>
                      <w:sz w:val="18"/>
                      <w:szCs w:val="21"/>
                      <w:highlight w:val="none"/>
                      <w:lang w:eastAsia="zh-CN"/>
                    </w:rPr>
                    <w:t>项目不属于</w:t>
                  </w:r>
                  <w:r>
                    <w:rPr>
                      <w:rFonts w:hint="eastAsia"/>
                      <w:color w:val="auto"/>
                      <w:sz w:val="18"/>
                      <w:szCs w:val="21"/>
                      <w:highlight w:val="none"/>
                    </w:rPr>
                    <w:t>冶金、电镀、化工、印染、原料药制造</w:t>
                  </w:r>
                  <w:r>
                    <w:rPr>
                      <w:rFonts w:hint="eastAsia"/>
                      <w:color w:val="auto"/>
                      <w:sz w:val="18"/>
                      <w:szCs w:val="21"/>
                      <w:highlight w:val="none"/>
                      <w:lang w:eastAsia="zh-CN"/>
                    </w:rPr>
                    <w:t>行业，不涉及重金属、</w:t>
                  </w:r>
                  <w:r>
                    <w:rPr>
                      <w:rFonts w:hint="eastAsia"/>
                      <w:color w:val="auto"/>
                      <w:sz w:val="18"/>
                      <w:szCs w:val="21"/>
                      <w:highlight w:val="none"/>
                    </w:rPr>
                    <w:t>难生化降解废水、高盐废水</w:t>
                  </w:r>
                </w:p>
              </w:tc>
              <w:tc>
                <w:tcPr>
                  <w:tcW w:w="855" w:type="dxa"/>
                  <w:noWrap/>
                  <w:vAlign w:val="center"/>
                </w:tcPr>
                <w:p>
                  <w:pPr>
                    <w:tabs>
                      <w:tab w:val="left" w:pos="6379"/>
                    </w:tabs>
                    <w:overflowPunct w:val="0"/>
                    <w:adjustRightInd w:val="0"/>
                    <w:snapToGrid w:val="0"/>
                    <w:jc w:val="center"/>
                    <w:rPr>
                      <w:color w:val="auto"/>
                      <w:sz w:val="18"/>
                      <w:szCs w:val="21"/>
                      <w:highlight w:val="none"/>
                    </w:rPr>
                  </w:pPr>
                  <w:r>
                    <w:rPr>
                      <w:color w:val="auto"/>
                      <w:sz w:val="18"/>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4529" w:type="dxa"/>
                  <w:noWrap/>
                  <w:vAlign w:val="center"/>
                </w:tcPr>
                <w:p>
                  <w:pPr>
                    <w:tabs>
                      <w:tab w:val="left" w:pos="6379"/>
                    </w:tabs>
                    <w:overflowPunct w:val="0"/>
                    <w:adjustRightInd w:val="0"/>
                    <w:snapToGrid w:val="0"/>
                    <w:jc w:val="both"/>
                    <w:rPr>
                      <w:color w:val="auto"/>
                      <w:sz w:val="18"/>
                      <w:szCs w:val="21"/>
                      <w:highlight w:val="none"/>
                    </w:rPr>
                  </w:pPr>
                  <w:r>
                    <w:rPr>
                      <w:rFonts w:hint="eastAsia"/>
                      <w:color w:val="auto"/>
                      <w:sz w:val="18"/>
                      <w:szCs w:val="21"/>
                      <w:highlight w:val="none"/>
                    </w:rPr>
                    <w:t>发酵酒精和白酒、啤酒、味精、制糖行业</w:t>
                  </w:r>
                  <w:r>
                    <w:rPr>
                      <w:rFonts w:hint="eastAsia"/>
                      <w:color w:val="auto"/>
                      <w:sz w:val="18"/>
                      <w:szCs w:val="21"/>
                      <w:highlight w:val="none"/>
                      <w:lang w:eastAsia="zh-CN"/>
                    </w:rPr>
                    <w:t>（</w:t>
                  </w:r>
                  <w:r>
                    <w:rPr>
                      <w:rFonts w:hint="eastAsia"/>
                      <w:color w:val="auto"/>
                      <w:sz w:val="18"/>
                      <w:szCs w:val="21"/>
                      <w:highlight w:val="none"/>
                    </w:rPr>
                    <w:t>依据行业标准修改单和排污许可证技术规范，排放浓度可协商</w:t>
                  </w:r>
                  <w:r>
                    <w:rPr>
                      <w:rFonts w:hint="eastAsia"/>
                      <w:color w:val="auto"/>
                      <w:sz w:val="18"/>
                      <w:szCs w:val="21"/>
                      <w:highlight w:val="none"/>
                      <w:lang w:eastAsia="zh-CN"/>
                    </w:rPr>
                    <w:t>），</w:t>
                  </w:r>
                  <w:r>
                    <w:rPr>
                      <w:rFonts w:hint="eastAsia"/>
                      <w:color w:val="auto"/>
                      <w:sz w:val="18"/>
                      <w:szCs w:val="21"/>
                      <w:highlight w:val="none"/>
                    </w:rPr>
                    <w:t>淀粉、酵母、柠檬酸行业</w:t>
                  </w:r>
                  <w:r>
                    <w:rPr>
                      <w:rFonts w:hint="eastAsia"/>
                      <w:color w:val="auto"/>
                      <w:sz w:val="18"/>
                      <w:szCs w:val="21"/>
                      <w:highlight w:val="none"/>
                      <w:lang w:eastAsia="zh-CN"/>
                    </w:rPr>
                    <w:t>（</w:t>
                  </w:r>
                  <w:r>
                    <w:rPr>
                      <w:rFonts w:hint="eastAsia"/>
                      <w:color w:val="auto"/>
                      <w:sz w:val="18"/>
                      <w:szCs w:val="21"/>
                      <w:highlight w:val="none"/>
                    </w:rPr>
                    <w:t>依据行业标准修改单征求意见稿，排放浓度可协商</w:t>
                  </w:r>
                  <w:r>
                    <w:rPr>
                      <w:rFonts w:hint="eastAsia"/>
                      <w:color w:val="auto"/>
                      <w:sz w:val="18"/>
                      <w:szCs w:val="21"/>
                      <w:highlight w:val="none"/>
                      <w:lang w:eastAsia="zh-CN"/>
                    </w:rPr>
                    <w:t>），</w:t>
                  </w:r>
                  <w:r>
                    <w:rPr>
                      <w:rFonts w:hint="eastAsia"/>
                      <w:color w:val="auto"/>
                      <w:sz w:val="18"/>
                      <w:szCs w:val="21"/>
                      <w:highlight w:val="none"/>
                    </w:rPr>
                    <w:t>以及肉类加工</w:t>
                  </w:r>
                  <w:r>
                    <w:rPr>
                      <w:rFonts w:hint="eastAsia"/>
                      <w:color w:val="auto"/>
                      <w:sz w:val="18"/>
                      <w:szCs w:val="21"/>
                      <w:highlight w:val="none"/>
                      <w:lang w:eastAsia="zh-CN"/>
                    </w:rPr>
                    <w:t>（</w:t>
                  </w:r>
                  <w:r>
                    <w:rPr>
                      <w:rFonts w:hint="eastAsia"/>
                      <w:color w:val="auto"/>
                      <w:sz w:val="18"/>
                      <w:szCs w:val="21"/>
                      <w:highlight w:val="none"/>
                    </w:rPr>
                    <w:t>依据行业标准，BODs浓度可放宽至600mg/L</w:t>
                  </w:r>
                  <w:r>
                    <w:rPr>
                      <w:rFonts w:hint="eastAsia"/>
                      <w:color w:val="auto"/>
                      <w:sz w:val="18"/>
                      <w:szCs w:val="21"/>
                      <w:highlight w:val="none"/>
                      <w:lang w:eastAsia="zh-CN"/>
                    </w:rPr>
                    <w:t>，</w:t>
                  </w:r>
                  <w:r>
                    <w:rPr>
                      <w:rFonts w:hint="eastAsia"/>
                      <w:color w:val="auto"/>
                      <w:sz w:val="18"/>
                      <w:szCs w:val="21"/>
                      <w:highlight w:val="none"/>
                    </w:rPr>
                    <w:t>CODcr浓度可放宽至1000mg/L</w:t>
                  </w:r>
                  <w:r>
                    <w:rPr>
                      <w:rFonts w:hint="eastAsia"/>
                      <w:color w:val="auto"/>
                      <w:sz w:val="18"/>
                      <w:szCs w:val="21"/>
                      <w:highlight w:val="none"/>
                      <w:lang w:eastAsia="zh-CN"/>
                    </w:rPr>
                    <w:t>）</w:t>
                  </w:r>
                  <w:r>
                    <w:rPr>
                      <w:rFonts w:hint="eastAsia"/>
                      <w:color w:val="auto"/>
                      <w:sz w:val="18"/>
                      <w:szCs w:val="21"/>
                      <w:highlight w:val="none"/>
                    </w:rPr>
                    <w:t>等制造业工业企业，生产废水含优质碳源、可生化性较好、不含其它高浓度或有毒有害污染物，企业与城镇污水处理厂协商确定接管间接排放限值，签订具备法律效力的书面合同，向当地城镇排水主管部门申领城镇污水排入排水管网许可证</w:t>
                  </w:r>
                  <w:r>
                    <w:rPr>
                      <w:rFonts w:hint="eastAsia"/>
                      <w:color w:val="auto"/>
                      <w:sz w:val="18"/>
                      <w:szCs w:val="21"/>
                      <w:highlight w:val="none"/>
                      <w:lang w:eastAsia="zh-CN"/>
                    </w:rPr>
                    <w:t>（</w:t>
                  </w:r>
                  <w:r>
                    <w:rPr>
                      <w:rFonts w:hint="eastAsia"/>
                      <w:color w:val="auto"/>
                      <w:sz w:val="18"/>
                      <w:szCs w:val="21"/>
                      <w:highlight w:val="none"/>
                    </w:rPr>
                    <w:t>以下简称排水许可证</w:t>
                  </w:r>
                  <w:r>
                    <w:rPr>
                      <w:rFonts w:hint="eastAsia"/>
                      <w:color w:val="auto"/>
                      <w:sz w:val="18"/>
                      <w:szCs w:val="21"/>
                      <w:highlight w:val="none"/>
                      <w:lang w:eastAsia="zh-CN"/>
                    </w:rPr>
                    <w:t>），</w:t>
                  </w:r>
                  <w:r>
                    <w:rPr>
                      <w:rFonts w:hint="eastAsia"/>
                      <w:color w:val="auto"/>
                      <w:sz w:val="18"/>
                      <w:szCs w:val="21"/>
                      <w:highlight w:val="none"/>
                    </w:rPr>
                    <w:t>并报当地生态环境主管部门备案后，可准予接入。</w:t>
                  </w:r>
                </w:p>
              </w:tc>
              <w:tc>
                <w:tcPr>
                  <w:tcW w:w="1663" w:type="dxa"/>
                  <w:noWrap/>
                  <w:vAlign w:val="center"/>
                </w:tcPr>
                <w:p>
                  <w:pPr>
                    <w:tabs>
                      <w:tab w:val="left" w:pos="6379"/>
                    </w:tabs>
                    <w:overflowPunct w:val="0"/>
                    <w:adjustRightInd w:val="0"/>
                    <w:snapToGrid w:val="0"/>
                    <w:rPr>
                      <w:rFonts w:hint="eastAsia" w:eastAsia="宋体"/>
                      <w:color w:val="auto"/>
                      <w:sz w:val="18"/>
                      <w:szCs w:val="21"/>
                      <w:highlight w:val="none"/>
                      <w:lang w:eastAsia="zh-CN"/>
                    </w:rPr>
                  </w:pPr>
                  <w:r>
                    <w:rPr>
                      <w:rFonts w:hint="eastAsia"/>
                      <w:color w:val="auto"/>
                      <w:sz w:val="18"/>
                      <w:szCs w:val="21"/>
                      <w:highlight w:val="none"/>
                    </w:rPr>
                    <w:t>本项目</w:t>
                  </w:r>
                  <w:r>
                    <w:rPr>
                      <w:rFonts w:hint="eastAsia"/>
                      <w:color w:val="auto"/>
                      <w:sz w:val="18"/>
                      <w:szCs w:val="21"/>
                      <w:highlight w:val="none"/>
                      <w:lang w:eastAsia="zh-CN"/>
                    </w:rPr>
                    <w:t>不属于</w:t>
                  </w:r>
                  <w:r>
                    <w:rPr>
                      <w:rFonts w:hint="eastAsia"/>
                      <w:color w:val="auto"/>
                      <w:sz w:val="18"/>
                      <w:szCs w:val="21"/>
                      <w:highlight w:val="none"/>
                    </w:rPr>
                    <w:t>发酵酒精和白酒、啤酒、味精、制糖行业</w:t>
                  </w:r>
                  <w:r>
                    <w:rPr>
                      <w:rFonts w:hint="eastAsia"/>
                      <w:color w:val="auto"/>
                      <w:sz w:val="18"/>
                      <w:szCs w:val="21"/>
                      <w:highlight w:val="none"/>
                      <w:lang w:eastAsia="zh-CN"/>
                    </w:rPr>
                    <w:t>，</w:t>
                  </w:r>
                  <w:r>
                    <w:rPr>
                      <w:rFonts w:hint="eastAsia"/>
                      <w:color w:val="auto"/>
                      <w:sz w:val="18"/>
                      <w:szCs w:val="21"/>
                      <w:highlight w:val="none"/>
                    </w:rPr>
                    <w:t>淀粉、酵母、柠檬酸行业</w:t>
                  </w:r>
                  <w:r>
                    <w:rPr>
                      <w:rFonts w:hint="eastAsia"/>
                      <w:color w:val="auto"/>
                      <w:sz w:val="18"/>
                      <w:szCs w:val="21"/>
                      <w:highlight w:val="none"/>
                      <w:lang w:eastAsia="zh-CN"/>
                    </w:rPr>
                    <w:t>，</w:t>
                  </w:r>
                  <w:r>
                    <w:rPr>
                      <w:rFonts w:hint="eastAsia"/>
                      <w:color w:val="auto"/>
                      <w:sz w:val="18"/>
                      <w:szCs w:val="21"/>
                      <w:highlight w:val="none"/>
                    </w:rPr>
                    <w:t>以及肉类加工</w:t>
                  </w:r>
                  <w:r>
                    <w:rPr>
                      <w:rFonts w:hint="eastAsia"/>
                      <w:color w:val="auto"/>
                      <w:sz w:val="18"/>
                      <w:szCs w:val="21"/>
                      <w:highlight w:val="none"/>
                      <w:lang w:eastAsia="zh-CN"/>
                    </w:rPr>
                    <w:t>行业，项目</w:t>
                  </w:r>
                  <w:r>
                    <w:rPr>
                      <w:rFonts w:hint="eastAsia"/>
                      <w:color w:val="auto"/>
                      <w:sz w:val="18"/>
                      <w:szCs w:val="21"/>
                      <w:highlight w:val="none"/>
                    </w:rPr>
                    <w:t>废水排放执行</w:t>
                  </w:r>
                  <w:r>
                    <w:rPr>
                      <w:rFonts w:hint="eastAsia"/>
                      <w:color w:val="auto"/>
                      <w:sz w:val="18"/>
                      <w:szCs w:val="21"/>
                      <w:highlight w:val="none"/>
                      <w:lang w:eastAsia="zh-CN"/>
                    </w:rPr>
                    <w:t>《纺织染整工业水污染排放标准》（</w:t>
                  </w:r>
                  <w:r>
                    <w:rPr>
                      <w:rFonts w:hint="eastAsia"/>
                      <w:color w:val="auto"/>
                      <w:sz w:val="18"/>
                      <w:szCs w:val="21"/>
                      <w:highlight w:val="none"/>
                      <w:lang w:val="en-US" w:eastAsia="zh-CN"/>
                    </w:rPr>
                    <w:t>GB4287-2012</w:t>
                  </w:r>
                  <w:r>
                    <w:rPr>
                      <w:rFonts w:hint="eastAsia"/>
                      <w:color w:val="auto"/>
                      <w:sz w:val="18"/>
                      <w:szCs w:val="21"/>
                      <w:highlight w:val="none"/>
                      <w:lang w:eastAsia="zh-CN"/>
                    </w:rPr>
                    <w:t>）</w:t>
                  </w:r>
                </w:p>
              </w:tc>
              <w:tc>
                <w:tcPr>
                  <w:tcW w:w="855" w:type="dxa"/>
                  <w:noWrap/>
                  <w:vAlign w:val="center"/>
                </w:tcPr>
                <w:p>
                  <w:pPr>
                    <w:tabs>
                      <w:tab w:val="left" w:pos="6379"/>
                    </w:tabs>
                    <w:overflowPunct w:val="0"/>
                    <w:adjustRightInd w:val="0"/>
                    <w:snapToGrid w:val="0"/>
                    <w:jc w:val="center"/>
                    <w:rPr>
                      <w:color w:val="auto"/>
                      <w:sz w:val="18"/>
                      <w:szCs w:val="21"/>
                      <w:highlight w:val="none"/>
                    </w:rPr>
                  </w:pPr>
                  <w:r>
                    <w:rPr>
                      <w:color w:val="auto"/>
                      <w:sz w:val="18"/>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4529" w:type="dxa"/>
                  <w:noWrap/>
                  <w:vAlign w:val="center"/>
                </w:tcPr>
                <w:p>
                  <w:pPr>
                    <w:tabs>
                      <w:tab w:val="left" w:pos="6379"/>
                    </w:tabs>
                    <w:overflowPunct w:val="0"/>
                    <w:adjustRightInd w:val="0"/>
                    <w:snapToGrid w:val="0"/>
                    <w:jc w:val="both"/>
                    <w:rPr>
                      <w:color w:val="auto"/>
                      <w:sz w:val="18"/>
                      <w:szCs w:val="21"/>
                      <w:highlight w:val="none"/>
                    </w:rPr>
                  </w:pPr>
                  <w:r>
                    <w:rPr>
                      <w:rFonts w:hint="eastAsia"/>
                      <w:color w:val="auto"/>
                      <w:sz w:val="18"/>
                      <w:szCs w:val="21"/>
                      <w:highlight w:val="none"/>
                    </w:rPr>
                    <w:t>允许接入：允许接入的工业企业应依法取得并更新维护排水许可和排污许可证，并与下游城镇污水处理厂签订纳管协议；纳管企业在总排口设置检查井、控制阀门，安装水质水量在线监控系统，与城镇排水主管部门、生态环境部门及依托的城镇污水处理厂联网实现数据共享。地方生态环境部门可根据需要对纳管企业提出针对重点管控特征污染物安装水质水量在线监控系统等具体管理要求。</w:t>
                  </w:r>
                </w:p>
              </w:tc>
              <w:tc>
                <w:tcPr>
                  <w:tcW w:w="1663" w:type="dxa"/>
                  <w:noWrap/>
                  <w:vAlign w:val="center"/>
                </w:tcPr>
                <w:p>
                  <w:pPr>
                    <w:tabs>
                      <w:tab w:val="left" w:pos="6379"/>
                    </w:tabs>
                    <w:overflowPunct w:val="0"/>
                    <w:adjustRightInd w:val="0"/>
                    <w:snapToGrid w:val="0"/>
                    <w:jc w:val="center"/>
                    <w:rPr>
                      <w:color w:val="auto"/>
                      <w:sz w:val="18"/>
                      <w:szCs w:val="21"/>
                      <w:highlight w:val="none"/>
                    </w:rPr>
                  </w:pPr>
                  <w:r>
                    <w:rPr>
                      <w:rFonts w:hint="eastAsia"/>
                      <w:color w:val="auto"/>
                      <w:sz w:val="18"/>
                      <w:szCs w:val="21"/>
                      <w:highlight w:val="none"/>
                    </w:rPr>
                    <w:t>项目建成后排放废水和污染物总量严格按照环评报告及批复、排污及排水许可证等核定的纳管</w:t>
                  </w:r>
                  <w:r>
                    <w:rPr>
                      <w:rFonts w:hint="eastAsia"/>
                      <w:color w:val="auto"/>
                      <w:sz w:val="18"/>
                      <w:szCs w:val="21"/>
                      <w:highlight w:val="none"/>
                      <w:lang w:eastAsia="zh-CN"/>
                    </w:rPr>
                    <w:t>浓度、纳管</w:t>
                  </w:r>
                  <w:r>
                    <w:rPr>
                      <w:rFonts w:hint="eastAsia"/>
                      <w:color w:val="auto"/>
                      <w:sz w:val="18"/>
                      <w:szCs w:val="21"/>
                      <w:highlight w:val="none"/>
                    </w:rPr>
                    <w:t>总量控制限值执行</w:t>
                  </w:r>
                </w:p>
              </w:tc>
              <w:tc>
                <w:tcPr>
                  <w:tcW w:w="855" w:type="dxa"/>
                  <w:noWrap/>
                  <w:vAlign w:val="center"/>
                </w:tcPr>
                <w:p>
                  <w:pPr>
                    <w:overflowPunct w:val="0"/>
                    <w:adjustRightInd w:val="0"/>
                    <w:snapToGrid w:val="0"/>
                    <w:jc w:val="center"/>
                    <w:rPr>
                      <w:color w:val="auto"/>
                      <w:sz w:val="18"/>
                      <w:szCs w:val="21"/>
                      <w:highlight w:val="none"/>
                    </w:rPr>
                  </w:pPr>
                  <w:r>
                    <w:rPr>
                      <w:color w:val="auto"/>
                      <w:sz w:val="18"/>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9" w:type="dxa"/>
                  <w:noWrap/>
                  <w:vAlign w:val="center"/>
                </w:tcPr>
                <w:p>
                  <w:pPr>
                    <w:tabs>
                      <w:tab w:val="left" w:pos="6379"/>
                    </w:tabs>
                    <w:overflowPunct w:val="0"/>
                    <w:adjustRightInd w:val="0"/>
                    <w:snapToGrid w:val="0"/>
                    <w:jc w:val="both"/>
                    <w:rPr>
                      <w:color w:val="auto"/>
                      <w:sz w:val="18"/>
                      <w:szCs w:val="21"/>
                      <w:highlight w:val="none"/>
                    </w:rPr>
                  </w:pPr>
                  <w:r>
                    <w:rPr>
                      <w:rFonts w:hint="eastAsia"/>
                      <w:color w:val="auto"/>
                      <w:sz w:val="18"/>
                      <w:szCs w:val="21"/>
                      <w:highlight w:val="none"/>
                    </w:rPr>
                    <w:t>整改后接入：针对排放含重金属、难生物降解物质、高盐、有毒有害等污染物的工业企业，经评估认为通过建设和完善预处理设施等方式进行整改后可满足纳管条件的，需要抓紧制订预处理设施能力建设方案，新建或改造工业企业废水预处理设施，或集中建设区域工业废水“绿岛”预处理设施，将常规和特征污染物浓度处理达到相应接管标准限值后，方可继续接入城镇污水处理厂。也可改造城镇污水处理厂，在生化处理工艺段之前对工业废水进行集中收集，建设单独的预处理设施，在达到接管条件后再与生活污水混合进入生化工艺段进行处理。</w:t>
                  </w:r>
                </w:p>
              </w:tc>
              <w:tc>
                <w:tcPr>
                  <w:tcW w:w="1663" w:type="dxa"/>
                  <w:noWrap/>
                  <w:vAlign w:val="center"/>
                </w:tcPr>
                <w:p>
                  <w:pPr>
                    <w:tabs>
                      <w:tab w:val="left" w:pos="6379"/>
                    </w:tabs>
                    <w:overflowPunct w:val="0"/>
                    <w:adjustRightInd w:val="0"/>
                    <w:snapToGrid w:val="0"/>
                    <w:jc w:val="center"/>
                    <w:rPr>
                      <w:rFonts w:hint="eastAsia" w:eastAsia="宋体"/>
                      <w:color w:val="auto"/>
                      <w:sz w:val="18"/>
                      <w:szCs w:val="21"/>
                      <w:highlight w:val="none"/>
                      <w:lang w:eastAsia="zh-CN"/>
                    </w:rPr>
                  </w:pPr>
                  <w:r>
                    <w:rPr>
                      <w:rFonts w:hint="eastAsia"/>
                      <w:color w:val="auto"/>
                      <w:sz w:val="18"/>
                      <w:szCs w:val="21"/>
                      <w:highlight w:val="none"/>
                    </w:rPr>
                    <w:t>本项目废水水质简单，不会影响城镇污水处理厂的稳定运行和达标排放</w:t>
                  </w:r>
                  <w:r>
                    <w:rPr>
                      <w:rFonts w:hint="eastAsia"/>
                      <w:color w:val="auto"/>
                      <w:sz w:val="18"/>
                      <w:szCs w:val="21"/>
                      <w:highlight w:val="none"/>
                      <w:lang w:eastAsia="zh-CN"/>
                    </w:rPr>
                    <w:t>项目属于允许接入类</w:t>
                  </w:r>
                </w:p>
              </w:tc>
              <w:tc>
                <w:tcPr>
                  <w:tcW w:w="855" w:type="dxa"/>
                  <w:noWrap/>
                  <w:vAlign w:val="center"/>
                </w:tcPr>
                <w:p>
                  <w:pPr>
                    <w:overflowPunct w:val="0"/>
                    <w:adjustRightInd w:val="0"/>
                    <w:snapToGrid w:val="0"/>
                    <w:jc w:val="center"/>
                    <w:rPr>
                      <w:color w:val="auto"/>
                      <w:sz w:val="18"/>
                      <w:szCs w:val="21"/>
                      <w:highlight w:val="none"/>
                    </w:rPr>
                  </w:pPr>
                  <w:r>
                    <w:rPr>
                      <w:color w:val="auto"/>
                      <w:sz w:val="18"/>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4529" w:type="dxa"/>
                  <w:noWrap/>
                  <w:vAlign w:val="center"/>
                </w:tcPr>
                <w:p>
                  <w:pPr>
                    <w:tabs>
                      <w:tab w:val="left" w:pos="6379"/>
                    </w:tabs>
                    <w:overflowPunct w:val="0"/>
                    <w:adjustRightInd w:val="0"/>
                    <w:snapToGrid w:val="0"/>
                    <w:jc w:val="both"/>
                    <w:rPr>
                      <w:rFonts w:hint="eastAsia"/>
                      <w:color w:val="auto"/>
                      <w:sz w:val="18"/>
                      <w:szCs w:val="21"/>
                      <w:highlight w:val="none"/>
                    </w:rPr>
                  </w:pPr>
                  <w:r>
                    <w:rPr>
                      <w:rFonts w:hint="eastAsia"/>
                      <w:color w:val="auto"/>
                      <w:sz w:val="18"/>
                      <w:szCs w:val="21"/>
                      <w:highlight w:val="none"/>
                    </w:rPr>
                    <w:t>限期退出：针对无法进行整改或整改后仍难以达到纳管条件的现有工业企业，应限期退出现有管网系统，接入现有或新建工业废水处理厂集中处理或自行建设污水处理设施处理达标后直接排放。因地制宜、统筹安排，通过新、改、扩建工业废水集中处理厂，以满足新建工业企业纳管需求以及现有工业企业限期退出需求。工业废水总量超过1万吨/日的省级及以上工业园区、工业废水纳管量占比超过40%的城镇污水处理厂所在区域，原则上应配套专业的工业废水处理厂。对于工业废水占比较高、且以工业废水处理工艺为主的污水处理厂，经可行性论证后可以将其改造为工业废水处理厂，具备条件的逐步将生活污水退出至其他城镇污水处理厂进行收集处理。鼓励工业企业将接管排放的循环冷却水等低浓</w:t>
                  </w:r>
                </w:p>
              </w:tc>
              <w:tc>
                <w:tcPr>
                  <w:tcW w:w="1663" w:type="dxa"/>
                  <w:noWrap/>
                  <w:vAlign w:val="center"/>
                </w:tcPr>
                <w:p>
                  <w:pPr>
                    <w:tabs>
                      <w:tab w:val="left" w:pos="6379"/>
                    </w:tabs>
                    <w:overflowPunct w:val="0"/>
                    <w:adjustRightInd w:val="0"/>
                    <w:snapToGrid w:val="0"/>
                    <w:jc w:val="center"/>
                    <w:rPr>
                      <w:rFonts w:hint="eastAsia"/>
                      <w:color w:val="auto"/>
                      <w:sz w:val="18"/>
                      <w:szCs w:val="21"/>
                      <w:highlight w:val="none"/>
                    </w:rPr>
                  </w:pPr>
                  <w:r>
                    <w:rPr>
                      <w:rFonts w:hint="eastAsia"/>
                      <w:color w:val="auto"/>
                      <w:sz w:val="18"/>
                      <w:szCs w:val="21"/>
                      <w:highlight w:val="none"/>
                    </w:rPr>
                    <w:t>本项目废水水质简单，不会影响城镇污水处理厂的稳定运行和达标排放</w:t>
                  </w:r>
                  <w:r>
                    <w:rPr>
                      <w:rFonts w:hint="eastAsia"/>
                      <w:color w:val="auto"/>
                      <w:sz w:val="18"/>
                      <w:szCs w:val="21"/>
                      <w:highlight w:val="none"/>
                      <w:lang w:eastAsia="zh-CN"/>
                    </w:rPr>
                    <w:t>项目属于允许接入类</w:t>
                  </w:r>
                </w:p>
              </w:tc>
              <w:tc>
                <w:tcPr>
                  <w:tcW w:w="855" w:type="dxa"/>
                  <w:noWrap/>
                  <w:vAlign w:val="center"/>
                </w:tcPr>
                <w:p>
                  <w:pPr>
                    <w:overflowPunct w:val="0"/>
                    <w:adjustRightInd w:val="0"/>
                    <w:snapToGrid w:val="0"/>
                    <w:jc w:val="center"/>
                    <w:rPr>
                      <w:color w:val="auto"/>
                      <w:sz w:val="18"/>
                      <w:szCs w:val="21"/>
                      <w:highlight w:val="none"/>
                    </w:rPr>
                  </w:pPr>
                  <w:r>
                    <w:rPr>
                      <w:color w:val="auto"/>
                      <w:sz w:val="18"/>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4529" w:type="dxa"/>
                  <w:noWrap/>
                  <w:vAlign w:val="center"/>
                </w:tcPr>
                <w:p>
                  <w:pPr>
                    <w:tabs>
                      <w:tab w:val="left" w:pos="6379"/>
                    </w:tabs>
                    <w:overflowPunct w:val="0"/>
                    <w:adjustRightInd w:val="0"/>
                    <w:snapToGrid w:val="0"/>
                    <w:jc w:val="both"/>
                    <w:rPr>
                      <w:color w:val="auto"/>
                      <w:sz w:val="18"/>
                      <w:szCs w:val="21"/>
                      <w:highlight w:val="none"/>
                    </w:rPr>
                  </w:pPr>
                  <w:r>
                    <w:rPr>
                      <w:rFonts w:hint="eastAsia"/>
                      <w:color w:val="auto"/>
                      <w:sz w:val="18"/>
                      <w:szCs w:val="21"/>
                      <w:highlight w:val="none"/>
                    </w:rPr>
                    <w:t>度清下水以及可生化性污染物浓度过低的其他废水逐步退出城镇污水处理厂，提高城镇污水处理厂进水化学需氧量浓度和污染物处理效能，减轻污染物稀释排放风险。退出后的清下水应加强循环利用，高浓度清下水纳入废水处理系统进行处理达标后排放。</w:t>
                  </w:r>
                </w:p>
              </w:tc>
              <w:tc>
                <w:tcPr>
                  <w:tcW w:w="1663" w:type="dxa"/>
                  <w:noWrap/>
                  <w:vAlign w:val="center"/>
                </w:tcPr>
                <w:p>
                  <w:pPr>
                    <w:tabs>
                      <w:tab w:val="left" w:pos="6379"/>
                    </w:tabs>
                    <w:overflowPunct w:val="0"/>
                    <w:adjustRightInd w:val="0"/>
                    <w:snapToGrid w:val="0"/>
                    <w:jc w:val="center"/>
                    <w:rPr>
                      <w:rFonts w:hint="eastAsia"/>
                      <w:color w:val="auto"/>
                      <w:sz w:val="18"/>
                      <w:szCs w:val="21"/>
                      <w:highlight w:val="none"/>
                    </w:rPr>
                  </w:pPr>
                </w:p>
              </w:tc>
              <w:tc>
                <w:tcPr>
                  <w:tcW w:w="855" w:type="dxa"/>
                  <w:noWrap/>
                  <w:vAlign w:val="center"/>
                </w:tcPr>
                <w:p>
                  <w:pPr>
                    <w:overflowPunct w:val="0"/>
                    <w:adjustRightInd w:val="0"/>
                    <w:snapToGrid w:val="0"/>
                    <w:jc w:val="center"/>
                    <w:rPr>
                      <w:color w:val="auto"/>
                      <w:sz w:val="18"/>
                      <w:szCs w:val="21"/>
                      <w:highlight w:val="none"/>
                    </w:rPr>
                  </w:pPr>
                </w:p>
              </w:tc>
            </w:tr>
          </w:tbl>
          <w:p>
            <w:pPr>
              <w:pStyle w:val="2"/>
              <w:spacing w:after="0" w:line="360" w:lineRule="auto"/>
              <w:ind w:firstLine="422" w:firstLineChars="200"/>
              <w:rPr>
                <w:rFonts w:ascii="Times New Roman" w:hAnsi="Times New Roman"/>
                <w:bCs/>
                <w:color w:val="auto"/>
                <w:szCs w:val="21"/>
                <w:highlight w:val="none"/>
              </w:rPr>
            </w:pPr>
            <w:r>
              <w:rPr>
                <w:rFonts w:hint="eastAsia" w:ascii="Times New Roman" w:hAnsi="Times New Roman"/>
                <w:b/>
                <w:bCs/>
                <w:color w:val="auto"/>
                <w:sz w:val="21"/>
                <w:szCs w:val="24"/>
                <w:highlight w:val="none"/>
              </w:rPr>
              <w:t>1</w:t>
            </w:r>
            <w:r>
              <w:rPr>
                <w:rFonts w:hint="eastAsia" w:ascii="Times New Roman" w:hAnsi="Times New Roman"/>
                <w:b/>
                <w:bCs/>
                <w:color w:val="auto"/>
                <w:sz w:val="21"/>
                <w:szCs w:val="24"/>
                <w:highlight w:val="none"/>
                <w:lang w:val="en-US" w:eastAsia="zh-CN"/>
              </w:rPr>
              <w:t>3</w:t>
            </w:r>
            <w:r>
              <w:rPr>
                <w:rFonts w:hint="eastAsia" w:ascii="Times New Roman" w:hAnsi="Times New Roman"/>
                <w:b/>
                <w:bCs/>
                <w:color w:val="auto"/>
                <w:sz w:val="21"/>
                <w:szCs w:val="24"/>
                <w:highlight w:val="none"/>
              </w:rPr>
              <w:t>、与</w:t>
            </w:r>
            <w:r>
              <w:rPr>
                <w:rFonts w:hint="eastAsia" w:ascii="Times New Roman" w:hAnsi="Times New Roman"/>
                <w:b/>
                <w:bCs/>
                <w:color w:val="auto"/>
                <w:sz w:val="21"/>
                <w:szCs w:val="24"/>
                <w:highlight w:val="none"/>
                <w:lang w:eastAsia="zh-CN"/>
              </w:rPr>
              <w:t>《南通市地表水工业特征污染物专项整治工作实施方案》（通环办</w:t>
            </w:r>
            <w:r>
              <w:rPr>
                <w:rFonts w:hint="eastAsia" w:ascii="宋体" w:hAnsi="宋体" w:eastAsia="宋体" w:cs="宋体"/>
                <w:b/>
                <w:bCs/>
                <w:color w:val="auto"/>
                <w:sz w:val="21"/>
                <w:szCs w:val="24"/>
                <w:highlight w:val="none"/>
                <w:lang w:eastAsia="zh-CN"/>
              </w:rPr>
              <w:t>﹝</w:t>
            </w:r>
            <w:r>
              <w:rPr>
                <w:rFonts w:hint="eastAsia" w:ascii="宋体" w:hAnsi="宋体" w:eastAsia="宋体" w:cs="宋体"/>
                <w:b/>
                <w:bCs/>
                <w:color w:val="auto"/>
                <w:sz w:val="21"/>
                <w:szCs w:val="24"/>
                <w:highlight w:val="none"/>
                <w:lang w:val="en-US" w:eastAsia="zh-CN"/>
              </w:rPr>
              <w:t>2023</w:t>
            </w:r>
            <w:r>
              <w:rPr>
                <w:rFonts w:hint="eastAsia" w:ascii="宋体" w:hAnsi="宋体" w:eastAsia="宋体" w:cs="宋体"/>
                <w:b/>
                <w:bCs/>
                <w:color w:val="auto"/>
                <w:sz w:val="21"/>
                <w:szCs w:val="24"/>
                <w:highlight w:val="none"/>
                <w:lang w:eastAsia="zh-CN"/>
              </w:rPr>
              <w:t>﹞</w:t>
            </w:r>
            <w:r>
              <w:rPr>
                <w:rFonts w:hint="eastAsia" w:ascii="宋体" w:hAnsi="宋体" w:eastAsia="宋体" w:cs="宋体"/>
                <w:b/>
                <w:bCs/>
                <w:color w:val="auto"/>
                <w:sz w:val="21"/>
                <w:szCs w:val="24"/>
                <w:highlight w:val="none"/>
                <w:lang w:val="en-US" w:eastAsia="zh-CN"/>
              </w:rPr>
              <w:t>48</w:t>
            </w:r>
            <w:r>
              <w:rPr>
                <w:rFonts w:hint="eastAsia" w:ascii="Times New Roman" w:hAnsi="Times New Roman"/>
                <w:b/>
                <w:bCs/>
                <w:color w:val="auto"/>
                <w:sz w:val="21"/>
                <w:szCs w:val="24"/>
                <w:highlight w:val="none"/>
                <w:lang w:eastAsia="zh-CN"/>
              </w:rPr>
              <w:t>）</w:t>
            </w:r>
            <w:r>
              <w:rPr>
                <w:rFonts w:hint="eastAsia" w:ascii="Times New Roman" w:hAnsi="Times New Roman"/>
                <w:b/>
                <w:bCs/>
                <w:color w:val="auto"/>
                <w:sz w:val="21"/>
                <w:szCs w:val="24"/>
                <w:highlight w:val="none"/>
              </w:rPr>
              <w:t>相符性分析</w:t>
            </w:r>
          </w:p>
          <w:p>
            <w:pPr>
              <w:spacing w:line="360" w:lineRule="auto"/>
              <w:jc w:val="center"/>
              <w:rPr>
                <w:b/>
                <w:bCs/>
                <w:color w:val="auto"/>
                <w:highlight w:val="none"/>
              </w:rPr>
            </w:pPr>
            <w:r>
              <w:rPr>
                <w:b/>
                <w:bCs/>
                <w:color w:val="auto"/>
                <w:highlight w:val="none"/>
              </w:rPr>
              <w:t>表1-</w:t>
            </w:r>
            <w:r>
              <w:rPr>
                <w:rFonts w:hint="eastAsia"/>
                <w:b/>
                <w:bCs/>
                <w:color w:val="auto"/>
                <w:highlight w:val="none"/>
                <w:lang w:val="en-US" w:eastAsia="zh-CN"/>
              </w:rPr>
              <w:t>14</w:t>
            </w:r>
            <w:r>
              <w:rPr>
                <w:b/>
                <w:bCs/>
                <w:color w:val="auto"/>
                <w:highlight w:val="none"/>
              </w:rPr>
              <w:t>与</w:t>
            </w:r>
            <w:r>
              <w:rPr>
                <w:rFonts w:hint="eastAsia" w:ascii="Times New Roman" w:hAnsi="Times New Roman"/>
                <w:b/>
                <w:bCs/>
                <w:color w:val="auto"/>
                <w:sz w:val="21"/>
                <w:szCs w:val="24"/>
                <w:highlight w:val="none"/>
                <w:lang w:eastAsia="zh-CN"/>
              </w:rPr>
              <w:t>《南通市地表水工业特征污染物专项整治工作实施方案》（通环办</w:t>
            </w:r>
            <w:r>
              <w:rPr>
                <w:rFonts w:hint="eastAsia" w:ascii="宋体" w:hAnsi="宋体" w:eastAsia="宋体" w:cs="宋体"/>
                <w:b/>
                <w:bCs/>
                <w:color w:val="auto"/>
                <w:sz w:val="21"/>
                <w:szCs w:val="24"/>
                <w:highlight w:val="none"/>
                <w:lang w:eastAsia="zh-CN"/>
              </w:rPr>
              <w:t>﹝</w:t>
            </w:r>
            <w:r>
              <w:rPr>
                <w:rFonts w:hint="eastAsia" w:ascii="宋体" w:hAnsi="宋体" w:eastAsia="宋体" w:cs="宋体"/>
                <w:b/>
                <w:bCs/>
                <w:color w:val="auto"/>
                <w:sz w:val="21"/>
                <w:szCs w:val="24"/>
                <w:highlight w:val="none"/>
                <w:lang w:val="en-US" w:eastAsia="zh-CN"/>
              </w:rPr>
              <w:t>2023</w:t>
            </w:r>
            <w:r>
              <w:rPr>
                <w:rFonts w:hint="eastAsia" w:ascii="宋体" w:hAnsi="宋体" w:eastAsia="宋体" w:cs="宋体"/>
                <w:b/>
                <w:bCs/>
                <w:color w:val="auto"/>
                <w:sz w:val="21"/>
                <w:szCs w:val="24"/>
                <w:highlight w:val="none"/>
                <w:lang w:eastAsia="zh-CN"/>
              </w:rPr>
              <w:t>﹞</w:t>
            </w:r>
            <w:r>
              <w:rPr>
                <w:rFonts w:hint="eastAsia" w:ascii="宋体" w:hAnsi="宋体" w:eastAsia="宋体" w:cs="宋体"/>
                <w:b/>
                <w:bCs/>
                <w:color w:val="auto"/>
                <w:sz w:val="21"/>
                <w:szCs w:val="24"/>
                <w:highlight w:val="none"/>
                <w:lang w:val="en-US" w:eastAsia="zh-CN"/>
              </w:rPr>
              <w:t>48</w:t>
            </w:r>
            <w:r>
              <w:rPr>
                <w:rFonts w:hint="eastAsia" w:ascii="Times New Roman" w:hAnsi="Times New Roman"/>
                <w:b/>
                <w:bCs/>
                <w:color w:val="auto"/>
                <w:sz w:val="21"/>
                <w:szCs w:val="24"/>
                <w:highlight w:val="none"/>
                <w:lang w:eastAsia="zh-CN"/>
              </w:rPr>
              <w:t>）</w:t>
            </w:r>
            <w:r>
              <w:rPr>
                <w:rFonts w:hint="eastAsia"/>
                <w:b/>
                <w:bCs/>
                <w:color w:val="auto"/>
                <w:highlight w:val="none"/>
              </w:rPr>
              <w:t>相符性分析</w:t>
            </w:r>
          </w:p>
          <w:tbl>
            <w:tblPr>
              <w:tblStyle w:val="11"/>
              <w:tblW w:w="66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87"/>
              <w:gridCol w:w="2372"/>
              <w:gridCol w:w="8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487" w:type="dxa"/>
                  <w:noWrap/>
                  <w:vAlign w:val="center"/>
                </w:tcPr>
                <w:p>
                  <w:pPr>
                    <w:tabs>
                      <w:tab w:val="left" w:pos="6379"/>
                    </w:tabs>
                    <w:overflowPunct w:val="0"/>
                    <w:adjustRightInd w:val="0"/>
                    <w:snapToGrid w:val="0"/>
                    <w:jc w:val="center"/>
                    <w:rPr>
                      <w:b/>
                      <w:color w:val="auto"/>
                      <w:sz w:val="18"/>
                      <w:szCs w:val="21"/>
                      <w:highlight w:val="none"/>
                    </w:rPr>
                  </w:pPr>
                  <w:r>
                    <w:rPr>
                      <w:rFonts w:hint="eastAsia"/>
                      <w:b/>
                      <w:color w:val="auto"/>
                      <w:sz w:val="18"/>
                      <w:szCs w:val="21"/>
                      <w:highlight w:val="none"/>
                    </w:rPr>
                    <w:t>文件要求</w:t>
                  </w:r>
                </w:p>
              </w:tc>
              <w:tc>
                <w:tcPr>
                  <w:tcW w:w="2372" w:type="dxa"/>
                  <w:noWrap/>
                  <w:vAlign w:val="center"/>
                </w:tcPr>
                <w:p>
                  <w:pPr>
                    <w:tabs>
                      <w:tab w:val="left" w:pos="6379"/>
                    </w:tabs>
                    <w:overflowPunct w:val="0"/>
                    <w:adjustRightInd w:val="0"/>
                    <w:snapToGrid w:val="0"/>
                    <w:jc w:val="center"/>
                    <w:rPr>
                      <w:b/>
                      <w:color w:val="auto"/>
                      <w:sz w:val="18"/>
                      <w:szCs w:val="21"/>
                      <w:highlight w:val="none"/>
                    </w:rPr>
                  </w:pPr>
                  <w:r>
                    <w:rPr>
                      <w:b/>
                      <w:color w:val="auto"/>
                      <w:sz w:val="18"/>
                      <w:szCs w:val="21"/>
                      <w:highlight w:val="none"/>
                    </w:rPr>
                    <w:t>本项目情况</w:t>
                  </w:r>
                </w:p>
              </w:tc>
              <w:tc>
                <w:tcPr>
                  <w:tcW w:w="819" w:type="dxa"/>
                  <w:noWrap/>
                  <w:vAlign w:val="center"/>
                </w:tcPr>
                <w:p>
                  <w:pPr>
                    <w:tabs>
                      <w:tab w:val="left" w:pos="6379"/>
                    </w:tabs>
                    <w:overflowPunct w:val="0"/>
                    <w:adjustRightInd w:val="0"/>
                    <w:snapToGrid w:val="0"/>
                    <w:jc w:val="center"/>
                    <w:rPr>
                      <w:b/>
                      <w:color w:val="auto"/>
                      <w:sz w:val="18"/>
                      <w:szCs w:val="21"/>
                      <w:highlight w:val="none"/>
                    </w:rPr>
                  </w:pPr>
                  <w:r>
                    <w:rPr>
                      <w:b/>
                      <w:color w:val="auto"/>
                      <w:sz w:val="18"/>
                      <w:szCs w:val="21"/>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3487" w:type="dxa"/>
                  <w:noWrap/>
                  <w:vAlign w:val="center"/>
                </w:tcPr>
                <w:p>
                  <w:pPr>
                    <w:tabs>
                      <w:tab w:val="left" w:pos="6379"/>
                    </w:tabs>
                    <w:overflowPunct w:val="0"/>
                    <w:adjustRightInd w:val="0"/>
                    <w:snapToGrid w:val="0"/>
                    <w:jc w:val="both"/>
                    <w:rPr>
                      <w:color w:val="auto"/>
                      <w:sz w:val="18"/>
                      <w:szCs w:val="21"/>
                      <w:highlight w:val="none"/>
                    </w:rPr>
                  </w:pPr>
                  <w:r>
                    <w:rPr>
                      <w:rFonts w:hint="eastAsia"/>
                      <w:color w:val="auto"/>
                      <w:sz w:val="18"/>
                      <w:szCs w:val="21"/>
                      <w:highlight w:val="none"/>
                    </w:rPr>
                    <w:t>严格项目准入。强化项目环评与规划环评、现有项目环境管理、区域环境质量联动的“三挂钩”机制，新建涉及工业特征污染物的企业原则上不得设置入河入海排污口。国省考断面出现工业特征污染物超标的区域，要针对性提出相应的污染物区域削减措施。优先选择涉及工业特征污染物的重点园区、重点企业开展特征污染物排放总量控制试点工作。</w:t>
                  </w:r>
                </w:p>
              </w:tc>
              <w:tc>
                <w:tcPr>
                  <w:tcW w:w="2372" w:type="dxa"/>
                  <w:noWrap/>
                  <w:vAlign w:val="center"/>
                </w:tcPr>
                <w:p>
                  <w:pPr>
                    <w:tabs>
                      <w:tab w:val="left" w:pos="6379"/>
                    </w:tabs>
                    <w:overflowPunct w:val="0"/>
                    <w:adjustRightInd w:val="0"/>
                    <w:snapToGrid w:val="0"/>
                    <w:jc w:val="both"/>
                    <w:rPr>
                      <w:rFonts w:hint="eastAsia" w:eastAsia="宋体"/>
                      <w:color w:val="auto"/>
                      <w:sz w:val="18"/>
                      <w:szCs w:val="21"/>
                      <w:highlight w:val="none"/>
                      <w:lang w:eastAsia="zh-CN"/>
                    </w:rPr>
                  </w:pPr>
                  <w:r>
                    <w:rPr>
                      <w:rFonts w:hint="eastAsia" w:ascii="Times New Roman" w:hAnsi="Times New Roman" w:eastAsia="宋体" w:cs="Times New Roman"/>
                      <w:color w:val="auto"/>
                      <w:sz w:val="18"/>
                      <w:szCs w:val="21"/>
                      <w:highlight w:val="none"/>
                      <w:lang w:eastAsia="zh-CN"/>
                    </w:rPr>
                    <w:t>项目建成后排放废水和污染物总量严格按照环评报告及批复、排污及排水许可</w:t>
                  </w:r>
                  <w:r>
                    <w:rPr>
                      <w:rFonts w:hint="eastAsia" w:ascii="Times New Roman" w:hAnsi="Times New Roman" w:eastAsia="宋体" w:cs="Times New Roman"/>
                      <w:color w:val="auto"/>
                      <w:sz w:val="18"/>
                      <w:szCs w:val="21"/>
                      <w:highlight w:val="none"/>
                      <w:lang w:val="en-US" w:eastAsia="zh-CN"/>
                    </w:rPr>
                    <w:t>证等核定的纳管总量控制限值执行。本项目所在区域不涉及国省考断面、水源地等敏感水域。</w:t>
                  </w:r>
                </w:p>
              </w:tc>
              <w:tc>
                <w:tcPr>
                  <w:tcW w:w="819" w:type="dxa"/>
                  <w:noWrap/>
                  <w:vAlign w:val="center"/>
                </w:tcPr>
                <w:p>
                  <w:pPr>
                    <w:tabs>
                      <w:tab w:val="left" w:pos="6379"/>
                    </w:tabs>
                    <w:overflowPunct w:val="0"/>
                    <w:adjustRightInd w:val="0"/>
                    <w:snapToGrid w:val="0"/>
                    <w:jc w:val="center"/>
                    <w:rPr>
                      <w:color w:val="auto"/>
                      <w:sz w:val="18"/>
                      <w:szCs w:val="21"/>
                      <w:highlight w:val="none"/>
                    </w:rPr>
                  </w:pPr>
                  <w:r>
                    <w:rPr>
                      <w:color w:val="auto"/>
                      <w:sz w:val="18"/>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1" w:hRule="atLeast"/>
                <w:jc w:val="center"/>
              </w:trPr>
              <w:tc>
                <w:tcPr>
                  <w:tcW w:w="3487" w:type="dxa"/>
                  <w:noWrap/>
                  <w:vAlign w:val="center"/>
                </w:tcPr>
                <w:p>
                  <w:pPr>
                    <w:tabs>
                      <w:tab w:val="left" w:pos="6379"/>
                    </w:tabs>
                    <w:overflowPunct w:val="0"/>
                    <w:adjustRightInd w:val="0"/>
                    <w:snapToGrid w:val="0"/>
                    <w:jc w:val="both"/>
                    <w:rPr>
                      <w:color w:val="auto"/>
                      <w:sz w:val="18"/>
                      <w:szCs w:val="21"/>
                      <w:highlight w:val="none"/>
                    </w:rPr>
                  </w:pPr>
                  <w:r>
                    <w:rPr>
                      <w:rFonts w:hint="eastAsia"/>
                      <w:color w:val="auto"/>
                      <w:sz w:val="18"/>
                      <w:szCs w:val="21"/>
                      <w:highlight w:val="none"/>
                    </w:rPr>
                    <w:t>涉及工业特征污染物企业应做到“雨污分流、清污分流”，鼓励企业采用“一企一管，明管（专管）输送”的收集方式。加快推进涉及工业特征污染物的废水与生活污水分类收集、分质处理。新建企业涉及工业特征污染物的废水不得接入城镇污水处理设施，现有企业已接管城镇污水集中收集处理设施的须组织排查评估，认定不能接入的限期退出，认定可以接入的须经预处理达标后方可接入。</w:t>
                  </w:r>
                </w:p>
              </w:tc>
              <w:tc>
                <w:tcPr>
                  <w:tcW w:w="2372" w:type="dxa"/>
                  <w:noWrap/>
                  <w:vAlign w:val="center"/>
                </w:tcPr>
                <w:p>
                  <w:pPr>
                    <w:tabs>
                      <w:tab w:val="left" w:pos="6379"/>
                    </w:tabs>
                    <w:overflowPunct w:val="0"/>
                    <w:adjustRightInd w:val="0"/>
                    <w:snapToGrid w:val="0"/>
                    <w:rPr>
                      <w:rFonts w:hint="eastAsia" w:eastAsia="宋体"/>
                      <w:color w:val="auto"/>
                      <w:sz w:val="18"/>
                      <w:szCs w:val="21"/>
                      <w:highlight w:val="none"/>
                      <w:lang w:eastAsia="zh-CN"/>
                    </w:rPr>
                  </w:pPr>
                  <w:r>
                    <w:rPr>
                      <w:rFonts w:hint="eastAsia"/>
                      <w:color w:val="auto"/>
                      <w:sz w:val="18"/>
                      <w:szCs w:val="21"/>
                      <w:highlight w:val="none"/>
                      <w:lang w:eastAsia="zh-CN"/>
                    </w:rPr>
                    <w:t>本项目为技改项目，项目废水主要为生活污水和生产废水，水质较简单，废水经厂区污水处理站预处理后，进入启东城市污水处理厂处理，本项目在启东城市污水处理厂服务范围内，项目废水排放浓度满足排放标准</w:t>
                  </w:r>
                </w:p>
              </w:tc>
              <w:tc>
                <w:tcPr>
                  <w:tcW w:w="819" w:type="dxa"/>
                  <w:noWrap/>
                  <w:vAlign w:val="center"/>
                </w:tcPr>
                <w:p>
                  <w:pPr>
                    <w:tabs>
                      <w:tab w:val="left" w:pos="6379"/>
                    </w:tabs>
                    <w:overflowPunct w:val="0"/>
                    <w:adjustRightInd w:val="0"/>
                    <w:snapToGrid w:val="0"/>
                    <w:jc w:val="center"/>
                    <w:rPr>
                      <w:color w:val="auto"/>
                      <w:sz w:val="18"/>
                      <w:szCs w:val="21"/>
                      <w:highlight w:val="none"/>
                    </w:rPr>
                  </w:pPr>
                  <w:r>
                    <w:rPr>
                      <w:color w:val="auto"/>
                      <w:sz w:val="18"/>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3487" w:type="dxa"/>
                  <w:noWrap/>
                  <w:vAlign w:val="center"/>
                </w:tcPr>
                <w:p>
                  <w:pPr>
                    <w:tabs>
                      <w:tab w:val="left" w:pos="6379"/>
                    </w:tabs>
                    <w:overflowPunct w:val="0"/>
                    <w:adjustRightInd w:val="0"/>
                    <w:snapToGrid w:val="0"/>
                    <w:jc w:val="both"/>
                    <w:rPr>
                      <w:color w:val="auto"/>
                      <w:sz w:val="18"/>
                      <w:szCs w:val="21"/>
                      <w:highlight w:val="none"/>
                    </w:rPr>
                  </w:pPr>
                  <w:r>
                    <w:rPr>
                      <w:rFonts w:hint="eastAsia"/>
                      <w:color w:val="auto"/>
                      <w:sz w:val="18"/>
                      <w:szCs w:val="21"/>
                      <w:highlight w:val="none"/>
                    </w:rPr>
                    <w:t>完善申报及核发要求，将工业特征污染物纳入总量许可范围。结合排污许可管理有关要求，督促企业依法申领排污许可证或填写排污登记表，并在其中载明执行的污染控制标准要求及采取的污染控制措施。</w:t>
                  </w:r>
                </w:p>
              </w:tc>
              <w:tc>
                <w:tcPr>
                  <w:tcW w:w="2372" w:type="dxa"/>
                  <w:noWrap/>
                  <w:vAlign w:val="center"/>
                </w:tcPr>
                <w:p>
                  <w:pPr>
                    <w:tabs>
                      <w:tab w:val="left" w:pos="6379"/>
                    </w:tabs>
                    <w:overflowPunct w:val="0"/>
                    <w:adjustRightInd w:val="0"/>
                    <w:snapToGrid w:val="0"/>
                    <w:jc w:val="center"/>
                    <w:rPr>
                      <w:color w:val="auto"/>
                      <w:sz w:val="18"/>
                      <w:szCs w:val="21"/>
                      <w:highlight w:val="none"/>
                    </w:rPr>
                  </w:pPr>
                  <w:r>
                    <w:rPr>
                      <w:rFonts w:hint="eastAsia"/>
                      <w:color w:val="auto"/>
                      <w:sz w:val="18"/>
                      <w:szCs w:val="21"/>
                      <w:highlight w:val="none"/>
                    </w:rPr>
                    <w:t>项目建成后排放废水和污染物总量严格按照环评报告及批复、排污及排水许可证等核定的纳管</w:t>
                  </w:r>
                  <w:r>
                    <w:rPr>
                      <w:rFonts w:hint="eastAsia"/>
                      <w:color w:val="auto"/>
                      <w:sz w:val="18"/>
                      <w:szCs w:val="21"/>
                      <w:highlight w:val="none"/>
                      <w:lang w:eastAsia="zh-CN"/>
                    </w:rPr>
                    <w:t>浓度、纳管</w:t>
                  </w:r>
                  <w:r>
                    <w:rPr>
                      <w:rFonts w:hint="eastAsia"/>
                      <w:color w:val="auto"/>
                      <w:sz w:val="18"/>
                      <w:szCs w:val="21"/>
                      <w:highlight w:val="none"/>
                    </w:rPr>
                    <w:t>总量控制限值执行</w:t>
                  </w:r>
                </w:p>
              </w:tc>
              <w:tc>
                <w:tcPr>
                  <w:tcW w:w="819" w:type="dxa"/>
                  <w:noWrap/>
                  <w:vAlign w:val="center"/>
                </w:tcPr>
                <w:p>
                  <w:pPr>
                    <w:overflowPunct w:val="0"/>
                    <w:adjustRightInd w:val="0"/>
                    <w:snapToGrid w:val="0"/>
                    <w:jc w:val="center"/>
                    <w:rPr>
                      <w:color w:val="auto"/>
                      <w:sz w:val="18"/>
                      <w:szCs w:val="21"/>
                      <w:highlight w:val="none"/>
                    </w:rPr>
                  </w:pPr>
                  <w:r>
                    <w:rPr>
                      <w:color w:val="auto"/>
                      <w:sz w:val="18"/>
                      <w:szCs w:val="21"/>
                      <w:highlight w:val="none"/>
                    </w:rPr>
                    <w:t>符合</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cs="Times New Roman"/>
                <w:color w:val="auto"/>
                <w:kern w:val="0"/>
                <w:szCs w:val="21"/>
                <w:lang w:eastAsia="zh-CN"/>
              </w:rPr>
            </w:pPr>
          </w:p>
        </w:tc>
      </w:tr>
    </w:tbl>
    <w:p>
      <w:pPr>
        <w:spacing w:before="156" w:beforeLines="50" w:after="156" w:afterLines="50"/>
        <w:jc w:val="center"/>
        <w:outlineLvl w:val="0"/>
        <w:rPr>
          <w:rFonts w:hint="eastAsia" w:ascii="黑体" w:hAnsi="黑体" w:eastAsia="黑体" w:cs="Times New Roman"/>
          <w:color w:val="auto"/>
          <w:sz w:val="30"/>
          <w:szCs w:val="30"/>
        </w:rPr>
      </w:pPr>
      <w:r>
        <w:rPr>
          <w:rFonts w:hint="eastAsia" w:ascii="黑体" w:hAnsi="黑体" w:eastAsia="黑体" w:cs="Times New Roman"/>
          <w:color w:val="auto"/>
          <w:sz w:val="30"/>
          <w:szCs w:val="30"/>
        </w:rPr>
        <w:t>二、建设项目工程分析</w:t>
      </w:r>
    </w:p>
    <w:tbl>
      <w:tblPr>
        <w:tblStyle w:val="12"/>
        <w:tblW w:w="9409"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
        <w:gridCol w:w="19"/>
        <w:gridCol w:w="651"/>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9" w:hRule="atLeast"/>
        </w:trPr>
        <w:tc>
          <w:tcPr>
            <w:tcW w:w="887" w:type="dxa"/>
            <w:gridSpan w:val="3"/>
            <w:vAlign w:val="center"/>
          </w:tcPr>
          <w:p>
            <w:pPr>
              <w:pStyle w:val="2"/>
              <w:jc w:val="center"/>
              <w:rPr>
                <w:vertAlign w:val="baseline"/>
              </w:rPr>
            </w:pPr>
            <w:r>
              <w:rPr>
                <w:rFonts w:hint="eastAsia" w:cs="宋体"/>
                <w:color w:val="auto"/>
                <w:sz w:val="21"/>
                <w:szCs w:val="21"/>
              </w:rPr>
              <w:t>建设内容</w:t>
            </w:r>
          </w:p>
        </w:tc>
        <w:tc>
          <w:tcPr>
            <w:tcW w:w="8522" w:type="dxa"/>
          </w:tcPr>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b/>
                <w:bCs/>
                <w:lang w:val="en-US" w:eastAsia="zh-CN"/>
              </w:rPr>
            </w:pPr>
            <w:r>
              <w:rPr>
                <w:rFonts w:hint="eastAsia"/>
                <w:b/>
                <w:bCs/>
                <w:lang w:val="en-US" w:eastAsia="zh-CN"/>
              </w:rPr>
              <w:t>项目由来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olor w:val="auto"/>
                <w:lang w:val="en-US" w:eastAsia="zh-CN"/>
              </w:rPr>
            </w:pPr>
            <w:r>
              <w:rPr>
                <w:rFonts w:hint="default" w:ascii="Times New Roman" w:hAnsi="Times New Roman" w:cs="Times New Roman"/>
                <w:lang w:val="en-US" w:eastAsia="zh-CN"/>
              </w:rPr>
              <w:t>南通春秋时装有限公司成立于2005年1月，租用南通南光鑫时装有限公司位于启东市人民西路3333号全部厂房，占地面积14648.2m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，主要</w:t>
            </w:r>
            <w:r>
              <w:rPr>
                <w:rFonts w:hint="eastAsia" w:cs="Times New Roman"/>
                <w:lang w:val="en-US" w:eastAsia="zh-CN"/>
              </w:rPr>
              <w:t>从事</w:t>
            </w:r>
            <w:r>
              <w:rPr>
                <w:rFonts w:hint="default" w:ascii="Times New Roman" w:hAnsi="Times New Roman" w:cs="Times New Roman"/>
                <w:lang w:val="en-US" w:eastAsia="zh-CN"/>
              </w:rPr>
              <w:t>针织品、服装生产。2008年，企业投资建设年产针织品、服装80万件项目，2008年6月8日编制建设项目环境影响登记表，并于2008年6月取得启东市环境保护局审批意见，目前已建成投产，具有年产针织品、服装80万件的生产能力。2018年投资68万元，购进洗衣机、烘干机等设备11台，建设污水处理等设施，对原有生产线进行技术改造，新增水洗、脱水、烘干等工序，建设了水洗服装80万件项目，于2019年12月16日取得启东市行政审批局批复（启行审环</w:t>
            </w:r>
            <w:r>
              <w:rPr>
                <w:rFonts w:hint="default" w:ascii="Times New Roman" w:hAnsi="Times New Roman" w:eastAsia="宋体" w:cs="Times New Roman"/>
                <w:lang w:val="en-US" w:eastAsia="zh-CN"/>
              </w:rPr>
              <w:t>﹝2019﹞344号</w:t>
            </w:r>
            <w:r>
              <w:rPr>
                <w:rFonts w:hint="default" w:ascii="Times New Roman" w:hAnsi="Times New Roman" w:cs="Times New Roman"/>
                <w:lang w:val="en-US" w:eastAsia="zh-CN"/>
              </w:rPr>
              <w:t>）</w:t>
            </w:r>
            <w:r>
              <w:rPr>
                <w:rFonts w:hint="eastAsia" w:ascii="Times New Roman" w:hAnsi="Times New Roman" w:cs="Times New Roman"/>
                <w:lang w:val="en-US" w:eastAsia="zh-CN"/>
              </w:rPr>
              <w:t>。</w:t>
            </w:r>
            <w:r>
              <w:rPr>
                <w:rFonts w:hint="eastAsia"/>
                <w:lang w:val="en-US" w:eastAsia="zh-CN"/>
              </w:rPr>
              <w:t>因市场原因，对项目进行技改，由技改前水洗工序中的添加固色剂、平滑剂、柔软剂、膨松剂等助剂，调整为技改后水洗工序只添加柔软平滑剂助剂。年产量由技改前的年产80万件服装，调整为技改后年产20万件服装。本</w:t>
            </w:r>
            <w:r>
              <w:rPr>
                <w:rFonts w:hint="eastAsia"/>
                <w:color w:val="auto"/>
                <w:lang w:val="en-US" w:eastAsia="zh-CN"/>
              </w:rPr>
              <w:t>项目已于2024年5月17日在启东市行政审批局进行了备案（启行审备〔2024〕117号）。</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default"/>
              </w:rPr>
            </w:pPr>
            <w:r>
              <w:rPr>
                <w:rFonts w:hint="default"/>
              </w:rPr>
              <w:t>为了严格贯彻执行国家、江苏省及地方有关环境保护政策、法规，</w:t>
            </w:r>
            <w:r>
              <w:rPr>
                <w:rFonts w:hint="eastAsia"/>
                <w:lang w:val="en-US" w:eastAsia="zh-CN"/>
              </w:rPr>
              <w:t>南通春秋时装有限公司</w:t>
            </w:r>
            <w:r>
              <w:rPr>
                <w:rFonts w:hint="default"/>
              </w:rPr>
              <w:t>委托我单位进行本项目的环境影响评价工作。经查，本项目属于《建设项目环境影响评价分类管理名录（2021 版）》中“</w:t>
            </w:r>
            <w:r>
              <w:rPr>
                <w:rFonts w:hint="default"/>
                <w:lang w:val="en-US" w:eastAsia="zh-CN"/>
              </w:rPr>
              <w:t>十五、纺织服装、服饰业-29针织或钩针编织服装制造 182-有喷墨印花或数码印花工艺的；有洗水、砂洗工艺的</w:t>
            </w:r>
            <w:r>
              <w:rPr>
                <w:rFonts w:hint="default"/>
              </w:rPr>
              <w:t>”，应编制环境影响报告表。我单位接受委托后，认真研究该项目的有关材料，并进行实地踏勘、调研，收集和核实了有关材料，编制了本项目的环境影响报告表，供相关部门审查批准，为项目的工程设计、施工及建成后的环境管理提供科学依据。</w:t>
            </w:r>
          </w:p>
          <w:p>
            <w:pPr>
              <w:keepNext w:val="0"/>
              <w:keepLines w:val="0"/>
              <w:pageBreakBefore w:val="0"/>
              <w:widowControl w:val="0"/>
              <w:numPr>
                <w:ilvl w:val="0"/>
                <w:numId w:val="2"/>
              </w:numPr>
              <w:kinsoku/>
              <w:wordWrap/>
              <w:overflowPunct/>
              <w:topLinePunct w:val="0"/>
              <w:autoSpaceDE/>
              <w:autoSpaceDN/>
              <w:bidi w:val="0"/>
              <w:spacing w:line="500" w:lineRule="exact"/>
              <w:ind w:left="0" w:leftChars="0" w:firstLine="422" w:firstLineChars="200"/>
              <w:textAlignment w:val="auto"/>
              <w:rPr>
                <w:rFonts w:hint="eastAsia"/>
                <w:b/>
                <w:bCs/>
                <w:lang w:val="en-US" w:eastAsia="zh-CN"/>
              </w:rPr>
            </w:pPr>
            <w:r>
              <w:rPr>
                <w:rFonts w:hint="eastAsia"/>
                <w:b/>
                <w:bCs/>
                <w:lang w:val="en-US" w:eastAsia="zh-CN"/>
              </w:rPr>
              <w:t xml:space="preserve">主要产品及产能情况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rPr>
            </w:pPr>
            <w:r>
              <w:rPr>
                <w:rFonts w:hint="eastAsia"/>
              </w:rPr>
              <w:t>该项目主要产品方案见表2-1。</w:t>
            </w:r>
          </w:p>
          <w:p>
            <w:pPr>
              <w:spacing w:line="500" w:lineRule="exact"/>
              <w:jc w:val="center"/>
              <w:rPr>
                <w:b/>
                <w:bCs/>
                <w:lang w:val="zh-CN"/>
              </w:rPr>
            </w:pPr>
            <w:r>
              <w:rPr>
                <w:b/>
                <w:bCs/>
                <w:lang w:val="zh-CN"/>
              </w:rPr>
              <w:t>表</w:t>
            </w:r>
            <w:r>
              <w:rPr>
                <w:rFonts w:hint="eastAsia"/>
                <w:b/>
                <w:bCs/>
                <w:lang w:val="zh-CN"/>
              </w:rPr>
              <w:t>2</w:t>
            </w:r>
            <w:r>
              <w:rPr>
                <w:b/>
                <w:bCs/>
                <w:lang w:val="zh-CN"/>
              </w:rPr>
              <w:t>-</w:t>
            </w:r>
            <w:r>
              <w:rPr>
                <w:rFonts w:hint="eastAsia"/>
                <w:b/>
                <w:bCs/>
                <w:lang w:val="zh-CN"/>
              </w:rPr>
              <w:t>1</w:t>
            </w:r>
            <w:r>
              <w:rPr>
                <w:rFonts w:hint="eastAsia"/>
                <w:b/>
                <w:bCs/>
                <w:lang w:val="en-US" w:eastAsia="zh-CN"/>
              </w:rPr>
              <w:t xml:space="preserve"> </w:t>
            </w:r>
            <w:r>
              <w:rPr>
                <w:b/>
                <w:bCs/>
                <w:lang w:val="zh-CN"/>
              </w:rPr>
              <w:t>产品方案</w:t>
            </w:r>
          </w:p>
          <w:tbl>
            <w:tblPr>
              <w:tblStyle w:val="11"/>
              <w:tblW w:w="829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1650"/>
              <w:gridCol w:w="1455"/>
              <w:gridCol w:w="1650"/>
              <w:gridCol w:w="1372"/>
              <w:gridCol w:w="118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82" w:type="dxa"/>
                  <w:vMerge w:val="restart"/>
                  <w:noWrap w:val="0"/>
                  <w:vAlign w:val="center"/>
                </w:tcPr>
                <w:p>
                  <w:pPr>
                    <w:jc w:val="center"/>
                    <w:rPr>
                      <w:sz w:val="18"/>
                      <w:szCs w:val="18"/>
                    </w:rPr>
                  </w:pPr>
                  <w:r>
                    <w:rPr>
                      <w:sz w:val="18"/>
                      <w:szCs w:val="18"/>
                    </w:rPr>
                    <w:t>工程名称</w:t>
                  </w:r>
                </w:p>
              </w:tc>
              <w:tc>
                <w:tcPr>
                  <w:tcW w:w="1650" w:type="dxa"/>
                  <w:vMerge w:val="restart"/>
                  <w:tcBorders>
                    <w:right w:val="single" w:color="auto" w:sz="4" w:space="0"/>
                  </w:tcBorders>
                  <w:noWrap w:val="0"/>
                  <w:vAlign w:val="center"/>
                </w:tcPr>
                <w:p>
                  <w:pPr>
                    <w:jc w:val="center"/>
                    <w:rPr>
                      <w:sz w:val="18"/>
                      <w:szCs w:val="18"/>
                    </w:rPr>
                  </w:pPr>
                  <w:r>
                    <w:rPr>
                      <w:sz w:val="18"/>
                      <w:szCs w:val="18"/>
                    </w:rPr>
                    <w:t>产品名称</w:t>
                  </w:r>
                </w:p>
              </w:tc>
              <w:tc>
                <w:tcPr>
                  <w:tcW w:w="4477" w:type="dxa"/>
                  <w:gridSpan w:val="3"/>
                  <w:noWrap w:val="0"/>
                  <w:vAlign w:val="center"/>
                </w:tcPr>
                <w:p>
                  <w:pPr>
                    <w:jc w:val="center"/>
                    <w:rPr>
                      <w:rFonts w:hint="eastAsia"/>
                      <w:sz w:val="18"/>
                      <w:szCs w:val="18"/>
                      <w:lang w:eastAsia="zh-CN"/>
                    </w:rPr>
                  </w:pPr>
                  <w:r>
                    <w:rPr>
                      <w:sz w:val="18"/>
                      <w:szCs w:val="18"/>
                    </w:rPr>
                    <w:t>年设计能力</w:t>
                  </w:r>
                </w:p>
              </w:tc>
              <w:tc>
                <w:tcPr>
                  <w:tcW w:w="1185" w:type="dxa"/>
                  <w:vMerge w:val="restart"/>
                  <w:noWrap w:val="0"/>
                  <w:vAlign w:val="center"/>
                </w:tcPr>
                <w:p>
                  <w:pPr>
                    <w:jc w:val="center"/>
                    <w:rPr>
                      <w:sz w:val="18"/>
                      <w:szCs w:val="18"/>
                    </w:rPr>
                  </w:pPr>
                  <w:r>
                    <w:rPr>
                      <w:sz w:val="18"/>
                      <w:szCs w:val="18"/>
                    </w:rPr>
                    <w:t>年运行时数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vMerge w:val="continue"/>
                  <w:noWrap w:val="0"/>
                  <w:vAlign w:val="center"/>
                </w:tcPr>
                <w:p>
                  <w:pPr>
                    <w:jc w:val="center"/>
                    <w:rPr>
                      <w:sz w:val="18"/>
                      <w:szCs w:val="18"/>
                    </w:rPr>
                  </w:pPr>
                </w:p>
              </w:tc>
              <w:tc>
                <w:tcPr>
                  <w:tcW w:w="1650" w:type="dxa"/>
                  <w:vMerge w:val="continue"/>
                  <w:tcBorders>
                    <w:right w:val="single" w:color="auto" w:sz="4" w:space="0"/>
                  </w:tcBorders>
                  <w:noWrap w:val="0"/>
                  <w:vAlign w:val="center"/>
                </w:tcPr>
                <w:p>
                  <w:pPr>
                    <w:jc w:val="center"/>
                    <w:rPr>
                      <w:sz w:val="18"/>
                      <w:szCs w:val="18"/>
                    </w:rPr>
                  </w:pPr>
                </w:p>
              </w:tc>
              <w:tc>
                <w:tcPr>
                  <w:tcW w:w="1455" w:type="dxa"/>
                  <w:tcBorders>
                    <w:right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技改前</w:t>
                  </w:r>
                </w:p>
              </w:tc>
              <w:tc>
                <w:tcPr>
                  <w:tcW w:w="1650" w:type="dxa"/>
                  <w:tcBorders>
                    <w:left w:val="single" w:color="auto" w:sz="4" w:space="0"/>
                    <w:right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技改后</w:t>
                  </w:r>
                </w:p>
              </w:tc>
              <w:tc>
                <w:tcPr>
                  <w:tcW w:w="1372" w:type="dxa"/>
                  <w:tcBorders>
                    <w:left w:val="single" w:color="auto" w:sz="4" w:space="0"/>
                  </w:tcBorders>
                  <w:noWrap w:val="0"/>
                  <w:vAlign w:val="center"/>
                </w:tcPr>
                <w:p>
                  <w:pPr>
                    <w:jc w:val="center"/>
                    <w:rPr>
                      <w:rFonts w:hint="eastAsia"/>
                      <w:sz w:val="18"/>
                      <w:szCs w:val="18"/>
                      <w:lang w:val="en-US" w:eastAsia="zh-CN"/>
                    </w:rPr>
                  </w:pPr>
                  <w:r>
                    <w:rPr>
                      <w:rFonts w:hint="eastAsia"/>
                      <w:sz w:val="18"/>
                      <w:szCs w:val="18"/>
                      <w:lang w:val="en-US" w:eastAsia="zh-CN"/>
                    </w:rPr>
                    <w:t>变化量</w:t>
                  </w:r>
                </w:p>
              </w:tc>
              <w:tc>
                <w:tcPr>
                  <w:tcW w:w="1185" w:type="dxa"/>
                  <w:vMerge w:val="continue"/>
                  <w:noWrap w:val="0"/>
                  <w:vAlign w:val="center"/>
                </w:tcPr>
                <w:p>
                  <w:pPr>
                    <w:jc w:val="center"/>
                    <w:rPr>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82" w:type="dxa"/>
                  <w:vMerge w:val="restart"/>
                  <w:noWrap w:val="0"/>
                  <w:vAlign w:val="center"/>
                </w:tcPr>
                <w:p>
                  <w:pPr>
                    <w:jc w:val="center"/>
                    <w:rPr>
                      <w:rFonts w:hint="eastAsia"/>
                      <w:sz w:val="18"/>
                      <w:szCs w:val="18"/>
                      <w:lang w:eastAsia="zh-CN"/>
                    </w:rPr>
                  </w:pPr>
                  <w:r>
                    <w:rPr>
                      <w:rFonts w:hint="eastAsia"/>
                      <w:sz w:val="18"/>
                      <w:szCs w:val="18"/>
                      <w:lang w:eastAsia="zh-CN"/>
                    </w:rPr>
                    <w:t>针织服装生产线</w:t>
                  </w:r>
                </w:p>
              </w:tc>
              <w:tc>
                <w:tcPr>
                  <w:tcW w:w="1650" w:type="dxa"/>
                  <w:tcBorders>
                    <w:right w:val="single" w:color="auto" w:sz="4" w:space="0"/>
                  </w:tcBorders>
                  <w:noWrap w:val="0"/>
                  <w:vAlign w:val="center"/>
                </w:tcPr>
                <w:p>
                  <w:pPr>
                    <w:snapToGrid w:val="0"/>
                    <w:jc w:val="center"/>
                    <w:rPr>
                      <w:rFonts w:hint="default"/>
                      <w:sz w:val="18"/>
                      <w:szCs w:val="18"/>
                      <w:lang w:val="en-US" w:eastAsia="zh-CN"/>
                    </w:rPr>
                  </w:pPr>
                  <w:r>
                    <w:rPr>
                      <w:rFonts w:hint="eastAsia"/>
                      <w:sz w:val="18"/>
                      <w:szCs w:val="18"/>
                      <w:lang w:val="en-US" w:eastAsia="zh-CN"/>
                    </w:rPr>
                    <w:t>全羊毛服装</w:t>
                  </w:r>
                </w:p>
              </w:tc>
              <w:tc>
                <w:tcPr>
                  <w:tcW w:w="1455" w:type="dxa"/>
                  <w:tcBorders>
                    <w:right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8万件/年</w:t>
                  </w:r>
                </w:p>
              </w:tc>
              <w:tc>
                <w:tcPr>
                  <w:tcW w:w="1650" w:type="dxa"/>
                  <w:tcBorders>
                    <w:left w:val="single" w:color="auto" w:sz="4" w:space="0"/>
                    <w:right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3万件/年</w:t>
                  </w:r>
                </w:p>
              </w:tc>
              <w:tc>
                <w:tcPr>
                  <w:tcW w:w="1372" w:type="dxa"/>
                  <w:tcBorders>
                    <w:left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-5万件/年</w:t>
                  </w:r>
                </w:p>
              </w:tc>
              <w:tc>
                <w:tcPr>
                  <w:tcW w:w="1185" w:type="dxa"/>
                  <w:vMerge w:val="restart"/>
                  <w:noWrap w:val="0"/>
                  <w:vAlign w:val="center"/>
                </w:tcPr>
                <w:p>
                  <w:pPr>
                    <w:jc w:val="center"/>
                    <w:rPr>
                      <w:sz w:val="18"/>
                      <w:szCs w:val="18"/>
                    </w:rPr>
                  </w:pPr>
                  <w:r>
                    <w:rPr>
                      <w:rFonts w:hint="eastAsia"/>
                      <w:sz w:val="18"/>
                      <w:szCs w:val="18"/>
                      <w:lang w:val="en-US" w:eastAsia="zh-CN"/>
                    </w:rPr>
                    <w:t>2400</w:t>
                  </w:r>
                  <w:r>
                    <w:rPr>
                      <w:sz w:val="18"/>
                      <w:szCs w:val="18"/>
                    </w:rPr>
                    <w:t>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982" w:type="dxa"/>
                  <w:vMerge w:val="continue"/>
                  <w:noWrap w:val="0"/>
                  <w:vAlign w:val="center"/>
                </w:tcPr>
                <w:p>
                  <w:pPr>
                    <w:jc w:val="center"/>
                    <w:rPr>
                      <w:rFonts w:hint="eastAsia"/>
                      <w:sz w:val="18"/>
                      <w:szCs w:val="18"/>
                      <w:lang w:eastAsia="zh-CN"/>
                    </w:rPr>
                  </w:pPr>
                </w:p>
              </w:tc>
              <w:tc>
                <w:tcPr>
                  <w:tcW w:w="1650" w:type="dxa"/>
                  <w:tcBorders>
                    <w:right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全棉服装</w:t>
                  </w:r>
                </w:p>
              </w:tc>
              <w:tc>
                <w:tcPr>
                  <w:tcW w:w="1455" w:type="dxa"/>
                  <w:tcBorders>
                    <w:right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10万件/年</w:t>
                  </w:r>
                </w:p>
              </w:tc>
              <w:tc>
                <w:tcPr>
                  <w:tcW w:w="1650" w:type="dxa"/>
                  <w:tcBorders>
                    <w:left w:val="single" w:color="auto" w:sz="4" w:space="0"/>
                    <w:right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15万件/年</w:t>
                  </w:r>
                </w:p>
              </w:tc>
              <w:tc>
                <w:tcPr>
                  <w:tcW w:w="1372" w:type="dxa"/>
                  <w:tcBorders>
                    <w:left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+5万件/年</w:t>
                  </w:r>
                </w:p>
              </w:tc>
              <w:tc>
                <w:tcPr>
                  <w:tcW w:w="1185" w:type="dxa"/>
                  <w:vMerge w:val="continue"/>
                  <w:noWrap w:val="0"/>
                  <w:vAlign w:val="center"/>
                </w:tcPr>
                <w:p>
                  <w:pPr>
                    <w:jc w:val="center"/>
                    <w:rPr>
                      <w:rFonts w:hint="eastAsia"/>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982" w:type="dxa"/>
                  <w:vMerge w:val="continue"/>
                  <w:noWrap w:val="0"/>
                  <w:vAlign w:val="center"/>
                </w:tcPr>
                <w:p>
                  <w:pPr>
                    <w:jc w:val="center"/>
                    <w:rPr>
                      <w:rFonts w:hint="eastAsia"/>
                      <w:sz w:val="18"/>
                      <w:szCs w:val="18"/>
                      <w:lang w:eastAsia="zh-CN"/>
                    </w:rPr>
                  </w:pPr>
                </w:p>
              </w:tc>
              <w:tc>
                <w:tcPr>
                  <w:tcW w:w="1650" w:type="dxa"/>
                  <w:tcBorders>
                    <w:right w:val="single" w:color="auto" w:sz="4" w:space="0"/>
                  </w:tcBorders>
                  <w:noWrap w:val="0"/>
                  <w:vAlign w:val="center"/>
                </w:tcPr>
                <w:p>
                  <w:pPr>
                    <w:jc w:val="center"/>
                    <w:rPr>
                      <w:rFonts w:hint="eastAsia"/>
                      <w:sz w:val="18"/>
                      <w:szCs w:val="18"/>
                      <w:lang w:val="en-US" w:eastAsia="zh-CN"/>
                    </w:rPr>
                  </w:pPr>
                  <w:r>
                    <w:rPr>
                      <w:rFonts w:hint="eastAsia"/>
                      <w:sz w:val="18"/>
                      <w:szCs w:val="18"/>
                      <w:lang w:val="en-US" w:eastAsia="zh-CN"/>
                    </w:rPr>
                    <w:t>化纤服装</w:t>
                  </w:r>
                </w:p>
              </w:tc>
              <w:tc>
                <w:tcPr>
                  <w:tcW w:w="1455" w:type="dxa"/>
                  <w:tcBorders>
                    <w:right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62万件/年</w:t>
                  </w:r>
                </w:p>
              </w:tc>
              <w:tc>
                <w:tcPr>
                  <w:tcW w:w="1650" w:type="dxa"/>
                  <w:tcBorders>
                    <w:left w:val="single" w:color="auto" w:sz="4" w:space="0"/>
                    <w:right w:val="single" w:color="auto" w:sz="4" w:space="0"/>
                  </w:tcBorders>
                  <w:noWrap w:val="0"/>
                  <w:vAlign w:val="center"/>
                </w:tcPr>
                <w:p>
                  <w:pPr>
                    <w:jc w:val="center"/>
                    <w:rPr>
                      <w:rFonts w:hint="eastAsia"/>
                      <w:sz w:val="18"/>
                      <w:szCs w:val="18"/>
                      <w:lang w:val="en-US" w:eastAsia="zh-CN"/>
                    </w:rPr>
                  </w:pPr>
                  <w:r>
                    <w:rPr>
                      <w:rFonts w:hint="eastAsia"/>
                      <w:sz w:val="18"/>
                      <w:szCs w:val="18"/>
                      <w:lang w:val="en-US" w:eastAsia="zh-CN"/>
                    </w:rPr>
                    <w:t>2万件/年</w:t>
                  </w:r>
                </w:p>
              </w:tc>
              <w:tc>
                <w:tcPr>
                  <w:tcW w:w="1372" w:type="dxa"/>
                  <w:tcBorders>
                    <w:left w:val="single" w:color="auto" w:sz="4" w:space="0"/>
                  </w:tcBorders>
                  <w:noWrap w:val="0"/>
                  <w:vAlign w:val="center"/>
                </w:tcPr>
                <w:p>
                  <w:pPr>
                    <w:jc w:val="center"/>
                    <w:rPr>
                      <w:rFonts w:hint="eastAsia"/>
                      <w:sz w:val="18"/>
                      <w:szCs w:val="18"/>
                      <w:lang w:val="en-US" w:eastAsia="zh-CN"/>
                    </w:rPr>
                  </w:pPr>
                  <w:r>
                    <w:rPr>
                      <w:rFonts w:hint="eastAsia"/>
                      <w:sz w:val="18"/>
                      <w:szCs w:val="18"/>
                      <w:lang w:val="en-US" w:eastAsia="zh-CN"/>
                    </w:rPr>
                    <w:t>-60万件/年</w:t>
                  </w:r>
                </w:p>
              </w:tc>
              <w:tc>
                <w:tcPr>
                  <w:tcW w:w="1185" w:type="dxa"/>
                  <w:vMerge w:val="continue"/>
                  <w:noWrap w:val="0"/>
                  <w:vAlign w:val="center"/>
                </w:tcPr>
                <w:p>
                  <w:pPr>
                    <w:jc w:val="center"/>
                    <w:rPr>
                      <w:rFonts w:hint="eastAsia"/>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8294" w:type="dxa"/>
                  <w:gridSpan w:val="6"/>
                  <w:noWrap w:val="0"/>
                  <w:vAlign w:val="center"/>
                </w:tcPr>
                <w:p>
                  <w:pPr>
                    <w:jc w:val="both"/>
                    <w:rPr>
                      <w:rFonts w:hint="eastAsia" w:eastAsia="宋体"/>
                      <w:sz w:val="18"/>
                      <w:szCs w:val="18"/>
                      <w:lang w:eastAsia="zh-CN"/>
                    </w:rPr>
                  </w:pPr>
                  <w:r>
                    <w:rPr>
                      <w:rFonts w:hint="eastAsia"/>
                      <w:sz w:val="18"/>
                      <w:szCs w:val="18"/>
                      <w:lang w:eastAsia="zh-CN"/>
                    </w:rPr>
                    <w:t>备注：化纤服装水洗外协，不在厂区内进行清洗</w:t>
                  </w:r>
                </w:p>
              </w:tc>
            </w:tr>
          </w:tbl>
          <w:p>
            <w:pPr>
              <w:adjustRightInd w:val="0"/>
              <w:snapToGrid w:val="0"/>
              <w:spacing w:line="500" w:lineRule="exact"/>
              <w:ind w:firstLine="422" w:firstLineChars="200"/>
              <w:rPr>
                <w:rFonts w:hint="eastAsia"/>
                <w:b/>
                <w:bCs/>
              </w:rPr>
            </w:pPr>
            <w:r>
              <w:rPr>
                <w:rFonts w:hint="eastAsia"/>
                <w:b/>
                <w:bCs/>
                <w:lang w:val="en-US" w:eastAsia="zh-CN"/>
              </w:rPr>
              <w:t>3</w:t>
            </w:r>
            <w:r>
              <w:rPr>
                <w:rFonts w:hint="eastAsia"/>
                <w:b/>
                <w:bCs/>
              </w:rPr>
              <w:t>、原辅材料及能源消耗</w:t>
            </w:r>
          </w:p>
          <w:p>
            <w:pPr>
              <w:adjustRightInd w:val="0"/>
              <w:snapToGrid w:val="0"/>
              <w:spacing w:line="500" w:lineRule="exact"/>
              <w:ind w:firstLine="420" w:firstLineChars="200"/>
              <w:rPr>
                <w:rFonts w:hint="eastAsia"/>
              </w:rPr>
            </w:pPr>
            <w:r>
              <w:rPr>
                <w:rFonts w:hint="eastAsia"/>
                <w:lang w:val="en-US" w:eastAsia="zh-CN"/>
              </w:rPr>
              <w:t>1）主要</w:t>
            </w:r>
            <w:r>
              <w:rPr>
                <w:rFonts w:hint="eastAsia"/>
              </w:rPr>
              <w:t>原辅材料消耗见表2-2。</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b/>
                <w:bCs/>
                <w:lang w:val="zh-CN"/>
              </w:rPr>
            </w:pPr>
            <w:r>
              <w:rPr>
                <w:b/>
                <w:bCs/>
                <w:lang w:val="zh-CN"/>
              </w:rPr>
              <w:t>表</w:t>
            </w:r>
            <w:r>
              <w:rPr>
                <w:rFonts w:hint="eastAsia"/>
                <w:b/>
                <w:bCs/>
              </w:rPr>
              <w:t>2</w:t>
            </w:r>
            <w:r>
              <w:rPr>
                <w:b/>
                <w:bCs/>
              </w:rPr>
              <w:t>-</w:t>
            </w:r>
            <w:r>
              <w:rPr>
                <w:rFonts w:hint="eastAsia"/>
                <w:b/>
                <w:bCs/>
              </w:rPr>
              <w:t>2</w:t>
            </w:r>
            <w:r>
              <w:rPr>
                <w:rFonts w:hint="eastAsia"/>
                <w:b/>
                <w:bCs/>
                <w:lang w:val="en-US" w:eastAsia="zh-CN"/>
              </w:rPr>
              <w:t xml:space="preserve"> </w:t>
            </w:r>
            <w:r>
              <w:rPr>
                <w:b/>
                <w:bCs/>
                <w:lang w:val="zh-CN"/>
              </w:rPr>
              <w:t>主要原辅料及能源消耗</w:t>
            </w:r>
          </w:p>
          <w:tbl>
            <w:tblPr>
              <w:tblStyle w:val="11"/>
              <w:tblW w:w="82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74"/>
              <w:gridCol w:w="1692"/>
              <w:gridCol w:w="900"/>
              <w:gridCol w:w="828"/>
              <w:gridCol w:w="990"/>
              <w:gridCol w:w="728"/>
              <w:gridCol w:w="623"/>
              <w:gridCol w:w="10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序号</w:t>
                  </w:r>
                </w:p>
              </w:tc>
              <w:tc>
                <w:tcPr>
                  <w:tcW w:w="8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名称</w:t>
                  </w:r>
                </w:p>
              </w:tc>
              <w:tc>
                <w:tcPr>
                  <w:tcW w:w="16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sz w:val="18"/>
                      <w:szCs w:val="18"/>
                    </w:rPr>
                    <w:t>规格</w:t>
                  </w:r>
                  <w:r>
                    <w:rPr>
                      <w:rFonts w:hint="eastAsia"/>
                      <w:sz w:val="18"/>
                      <w:szCs w:val="18"/>
                      <w:lang w:val="en-US" w:eastAsia="zh-CN"/>
                    </w:rPr>
                    <w:t>/成分</w:t>
                  </w:r>
                </w:p>
              </w:tc>
              <w:tc>
                <w:tcPr>
                  <w:tcW w:w="27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消耗量</w:t>
                  </w:r>
                </w:p>
              </w:tc>
              <w:tc>
                <w:tcPr>
                  <w:tcW w:w="7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最大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存量</w:t>
                  </w:r>
                </w:p>
              </w:tc>
              <w:tc>
                <w:tcPr>
                  <w:tcW w:w="6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存储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方式</w:t>
                  </w:r>
                </w:p>
              </w:tc>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来源/运输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p>
              </w:tc>
              <w:tc>
                <w:tcPr>
                  <w:tcW w:w="8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p>
              </w:tc>
              <w:tc>
                <w:tcPr>
                  <w:tcW w:w="16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p>
              </w:tc>
              <w:tc>
                <w:tcPr>
                  <w:tcW w:w="900" w:type="dxa"/>
                  <w:noWrap w:val="0"/>
                  <w:vAlign w:val="center"/>
                </w:tcPr>
                <w:p>
                  <w:pPr>
                    <w:jc w:val="center"/>
                    <w:rPr>
                      <w:rFonts w:hint="eastAsia"/>
                      <w:sz w:val="18"/>
                      <w:szCs w:val="18"/>
                      <w:lang w:val="en-US" w:eastAsia="zh-CN"/>
                    </w:rPr>
                  </w:pPr>
                  <w:r>
                    <w:rPr>
                      <w:rFonts w:hint="eastAsia"/>
                      <w:sz w:val="18"/>
                      <w:szCs w:val="18"/>
                      <w:lang w:val="en-US" w:eastAsia="zh-CN"/>
                    </w:rPr>
                    <w:t>技改前</w:t>
                  </w:r>
                </w:p>
              </w:tc>
              <w:tc>
                <w:tcPr>
                  <w:tcW w:w="828" w:type="dxa"/>
                  <w:noWrap w:val="0"/>
                  <w:vAlign w:val="center"/>
                </w:tcPr>
                <w:p>
                  <w:pPr>
                    <w:jc w:val="center"/>
                    <w:rPr>
                      <w:rFonts w:hint="eastAsia"/>
                      <w:sz w:val="18"/>
                      <w:szCs w:val="18"/>
                      <w:lang w:val="en-US" w:eastAsia="zh-CN"/>
                    </w:rPr>
                  </w:pPr>
                  <w:r>
                    <w:rPr>
                      <w:rFonts w:hint="eastAsia"/>
                      <w:sz w:val="18"/>
                      <w:szCs w:val="18"/>
                      <w:lang w:val="en-US" w:eastAsia="zh-CN"/>
                    </w:rPr>
                    <w:t>技改后</w:t>
                  </w:r>
                </w:p>
              </w:tc>
              <w:tc>
                <w:tcPr>
                  <w:tcW w:w="990" w:type="dxa"/>
                  <w:noWrap w:val="0"/>
                  <w:vAlign w:val="center"/>
                </w:tcPr>
                <w:p>
                  <w:pPr>
                    <w:jc w:val="center"/>
                    <w:rPr>
                      <w:rFonts w:hint="eastAsia"/>
                      <w:sz w:val="18"/>
                      <w:szCs w:val="18"/>
                      <w:lang w:val="en-US" w:eastAsia="zh-CN"/>
                    </w:rPr>
                  </w:pPr>
                  <w:r>
                    <w:rPr>
                      <w:rFonts w:hint="eastAsia"/>
                      <w:sz w:val="18"/>
                      <w:szCs w:val="18"/>
                      <w:lang w:val="en-US" w:eastAsia="zh-CN"/>
                    </w:rPr>
                    <w:t>变化量</w:t>
                  </w:r>
                </w:p>
              </w:tc>
              <w:tc>
                <w:tcPr>
                  <w:tcW w:w="7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p>
              </w:tc>
              <w:tc>
                <w:tcPr>
                  <w:tcW w:w="6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p>
              </w:tc>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1</w:t>
                  </w:r>
                </w:p>
              </w:tc>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羊毛线</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25</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10</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-15</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1t</w:t>
                  </w:r>
                </w:p>
              </w:tc>
              <w:tc>
                <w:tcPr>
                  <w:tcW w:w="6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袋装</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sz w:val="18"/>
                      <w:szCs w:val="18"/>
                    </w:rPr>
                    <w:t>外购</w:t>
                  </w:r>
                  <w:r>
                    <w:rPr>
                      <w:rFonts w:hint="eastAsia"/>
                      <w:sz w:val="18"/>
                      <w:szCs w:val="18"/>
                      <w:lang w:val="en-US" w:eastAsia="zh-CN"/>
                    </w:rPr>
                    <w:t>/汽运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2</w:t>
                  </w:r>
                </w:p>
              </w:tc>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棉毛线</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30</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45</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+15</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3t</w:t>
                  </w:r>
                </w:p>
              </w:tc>
              <w:tc>
                <w:tcPr>
                  <w:tcW w:w="6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袋装</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外购</w:t>
                  </w:r>
                  <w:r>
                    <w:rPr>
                      <w:rFonts w:hint="eastAsia"/>
                      <w:sz w:val="18"/>
                      <w:szCs w:val="18"/>
                      <w:lang w:val="en-US" w:eastAsia="zh-CN"/>
                    </w:rPr>
                    <w:t>/汽运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3</w:t>
                  </w:r>
                </w:p>
              </w:tc>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化纤毛线</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175</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5</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-170</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1t</w:t>
                  </w:r>
                </w:p>
              </w:tc>
              <w:tc>
                <w:tcPr>
                  <w:tcW w:w="6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袋装</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外购</w:t>
                  </w:r>
                  <w:r>
                    <w:rPr>
                      <w:rFonts w:hint="eastAsia"/>
                      <w:sz w:val="18"/>
                      <w:szCs w:val="18"/>
                      <w:lang w:val="en-US" w:eastAsia="zh-CN"/>
                    </w:rPr>
                    <w:t>/汽运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4</w:t>
                  </w:r>
                </w:p>
              </w:tc>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洗涤剂</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lang w:val="en-US" w:eastAsia="zh-CN"/>
                    </w:rPr>
                  </w:pPr>
                  <w:r>
                    <w:rPr>
                      <w:rFonts w:hint="eastAsia"/>
                      <w:sz w:val="18"/>
                      <w:szCs w:val="18"/>
                      <w:lang w:val="en-US" w:eastAsia="zh-CN"/>
                    </w:rPr>
                    <w:t>含水率约85%，洗涤剂是一种碱性的合成洗涤剂，主要由十二烷基苯磺酸钠、少量非离子表面活性剂、硅酸盐等物质组成</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10</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1</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-9</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0.1</w:t>
                  </w:r>
                </w:p>
              </w:tc>
              <w:tc>
                <w:tcPr>
                  <w:tcW w:w="6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桶装</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外购</w:t>
                  </w:r>
                  <w:r>
                    <w:rPr>
                      <w:rFonts w:hint="eastAsia"/>
                      <w:sz w:val="18"/>
                      <w:szCs w:val="18"/>
                      <w:lang w:val="en-US" w:eastAsia="zh-CN"/>
                    </w:rPr>
                    <w:t>/汽运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5</w:t>
                  </w:r>
                </w:p>
              </w:tc>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柔软平滑剂</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含水率约30%，酯基季铵盐</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21.9</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5</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-16.9</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1</w:t>
                  </w:r>
                </w:p>
              </w:tc>
              <w:tc>
                <w:tcPr>
                  <w:tcW w:w="6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桶装</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外购</w:t>
                  </w:r>
                  <w:r>
                    <w:rPr>
                      <w:rFonts w:hint="eastAsia"/>
                      <w:sz w:val="18"/>
                      <w:szCs w:val="18"/>
                      <w:lang w:val="en-US" w:eastAsia="zh-CN"/>
                    </w:rPr>
                    <w:t>/汽运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6</w:t>
                  </w:r>
                </w:p>
              </w:tc>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固色剂</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0.5</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0</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-0.5</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0</w:t>
                  </w:r>
                </w:p>
              </w:tc>
              <w:tc>
                <w:tcPr>
                  <w:tcW w:w="6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桶装</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外购</w:t>
                  </w:r>
                  <w:r>
                    <w:rPr>
                      <w:rFonts w:hint="eastAsia"/>
                      <w:sz w:val="18"/>
                      <w:szCs w:val="18"/>
                      <w:lang w:val="en-US" w:eastAsia="zh-CN"/>
                    </w:rPr>
                    <w:t>/汽运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7</w:t>
                  </w:r>
                </w:p>
              </w:tc>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膨松剂</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1</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0</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-1</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0</w:t>
                  </w:r>
                </w:p>
              </w:tc>
              <w:tc>
                <w:tcPr>
                  <w:tcW w:w="6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桶装</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外购</w:t>
                  </w:r>
                  <w:r>
                    <w:rPr>
                      <w:rFonts w:hint="eastAsia"/>
                      <w:sz w:val="18"/>
                      <w:szCs w:val="18"/>
                      <w:lang w:val="en-US" w:eastAsia="zh-CN"/>
                    </w:rPr>
                    <w:t>/汽运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8</w:t>
                  </w:r>
                </w:p>
              </w:tc>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水</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900" w:type="dxa"/>
                  <w:noWrap w:val="0"/>
                  <w:vAlign w:val="center"/>
                </w:tcPr>
                <w:p>
                  <w:pPr>
                    <w:bidi w:val="0"/>
                    <w:jc w:val="center"/>
                    <w:rPr>
                      <w:rFonts w:hint="default"/>
                      <w:sz w:val="18"/>
                      <w:szCs w:val="18"/>
                      <w:lang w:val="en-US" w:eastAsia="zh-CN"/>
                    </w:rPr>
                  </w:pPr>
                  <w:r>
                    <w:rPr>
                      <w:rFonts w:hint="eastAsia"/>
                      <w:color w:val="auto"/>
                      <w:sz w:val="18"/>
                      <w:szCs w:val="18"/>
                      <w:lang w:val="en-US" w:eastAsia="zh-CN"/>
                    </w:rPr>
                    <w:t>8133.5t/a</w:t>
                  </w:r>
                </w:p>
              </w:tc>
              <w:tc>
                <w:tcPr>
                  <w:tcW w:w="828" w:type="dxa"/>
                  <w:noWrap w:val="0"/>
                  <w:vAlign w:val="center"/>
                </w:tcPr>
                <w:p>
                  <w:pPr>
                    <w:bidi w:val="0"/>
                    <w:jc w:val="center"/>
                    <w:rPr>
                      <w:rFonts w:hint="default"/>
                      <w:sz w:val="18"/>
                      <w:szCs w:val="18"/>
                      <w:lang w:val="en-US" w:eastAsia="zh-CN"/>
                    </w:rPr>
                  </w:pPr>
                  <w:r>
                    <w:rPr>
                      <w:rFonts w:hint="eastAsia"/>
                      <w:color w:val="auto"/>
                      <w:sz w:val="18"/>
                      <w:szCs w:val="18"/>
                      <w:lang w:val="en-US" w:eastAsia="zh-CN"/>
                    </w:rPr>
                    <w:t>4244t/a</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-3889.5t/a</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6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9</w:t>
                  </w:r>
                </w:p>
              </w:tc>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电</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900" w:type="dxa"/>
                  <w:noWrap w:val="0"/>
                  <w:vAlign w:val="center"/>
                </w:tcPr>
                <w:p>
                  <w:pPr>
                    <w:bidi w:val="0"/>
                    <w:jc w:val="center"/>
                    <w:rPr>
                      <w:rFonts w:hint="eastAsia"/>
                      <w:sz w:val="18"/>
                      <w:szCs w:val="18"/>
                      <w:lang w:val="en-US" w:eastAsia="zh-CN"/>
                    </w:rPr>
                  </w:pPr>
                  <w:r>
                    <w:rPr>
                      <w:rFonts w:hint="eastAsia"/>
                      <w:color w:val="auto"/>
                      <w:sz w:val="18"/>
                      <w:szCs w:val="18"/>
                      <w:lang w:val="en-US" w:eastAsia="zh-CN"/>
                    </w:rPr>
                    <w:t>24万kwh/a</w:t>
                  </w:r>
                </w:p>
              </w:tc>
              <w:tc>
                <w:tcPr>
                  <w:tcW w:w="828" w:type="dxa"/>
                  <w:noWrap w:val="0"/>
                  <w:vAlign w:val="center"/>
                </w:tcPr>
                <w:p>
                  <w:pPr>
                    <w:bidi w:val="0"/>
                    <w:jc w:val="center"/>
                    <w:rPr>
                      <w:rFonts w:hint="eastAsia"/>
                      <w:sz w:val="18"/>
                      <w:szCs w:val="18"/>
                      <w:lang w:val="en-US" w:eastAsia="zh-CN"/>
                    </w:rPr>
                  </w:pPr>
                  <w:r>
                    <w:rPr>
                      <w:rFonts w:hint="eastAsia"/>
                      <w:color w:val="auto"/>
                      <w:sz w:val="18"/>
                      <w:szCs w:val="18"/>
                      <w:lang w:val="en-US" w:eastAsia="zh-CN"/>
                    </w:rPr>
                    <w:t>20万kwh/a</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-4</w:t>
                  </w:r>
                  <w:r>
                    <w:rPr>
                      <w:rFonts w:hint="eastAsia"/>
                      <w:color w:val="auto"/>
                      <w:sz w:val="18"/>
                      <w:szCs w:val="18"/>
                      <w:lang w:val="en-US" w:eastAsia="zh-CN"/>
                    </w:rPr>
                    <w:t>万kwh/a</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6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10</w:t>
                  </w:r>
                </w:p>
              </w:tc>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蒸汽</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color w:val="auto"/>
                      <w:sz w:val="18"/>
                      <w:szCs w:val="18"/>
                      <w:lang w:val="en-US" w:eastAsia="zh-CN"/>
                    </w:rPr>
                    <w:t>3460t/a</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900t/a</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2560t/a</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6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lang w:val="en-US" w:eastAsia="zh-CN"/>
                    </w:rPr>
                  </w:pPr>
                  <w:r>
                    <w:rPr>
                      <w:rFonts w:hint="eastAsia"/>
                      <w:sz w:val="18"/>
                      <w:szCs w:val="18"/>
                      <w:lang w:val="en-US" w:eastAsia="zh-CN"/>
                    </w:rPr>
                    <w:t>/</w:t>
                  </w:r>
                </w:p>
              </w:tc>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lang w:val="en-US"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21"/>
                <w:szCs w:val="21"/>
                <w:lang w:val="en-US" w:eastAsia="zh-CN"/>
              </w:rPr>
            </w:pPr>
            <w:r>
              <w:rPr>
                <w:rFonts w:hint="eastAsia"/>
                <w:b/>
                <w:bCs/>
                <w:sz w:val="21"/>
                <w:szCs w:val="21"/>
                <w:lang w:val="en-US" w:eastAsia="zh-CN"/>
              </w:rPr>
              <w:t>表2-3 项目主要原辅材料理化性质一览表</w:t>
            </w:r>
          </w:p>
          <w:tbl>
            <w:tblPr>
              <w:tblStyle w:val="12"/>
              <w:tblW w:w="831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36"/>
              <w:gridCol w:w="63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lang w:val="en-US" w:eastAsia="zh-CN"/>
                    </w:rPr>
                  </w:pPr>
                  <w:r>
                    <w:rPr>
                      <w:rFonts w:hint="eastAsia"/>
                      <w:sz w:val="18"/>
                      <w:szCs w:val="18"/>
                      <w:lang w:val="en-US" w:eastAsia="zh-CN"/>
                    </w:rPr>
                    <w:t>序号</w:t>
                  </w:r>
                </w:p>
              </w:tc>
              <w:tc>
                <w:tcPr>
                  <w:tcW w:w="12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lang w:val="en-US" w:eastAsia="zh-CN"/>
                    </w:rPr>
                  </w:pPr>
                  <w:r>
                    <w:rPr>
                      <w:rFonts w:hint="eastAsia"/>
                      <w:sz w:val="18"/>
                      <w:szCs w:val="18"/>
                      <w:lang w:val="en-US" w:eastAsia="zh-CN"/>
                    </w:rPr>
                    <w:t>名称</w:t>
                  </w:r>
                </w:p>
              </w:tc>
              <w:tc>
                <w:tcPr>
                  <w:tcW w:w="63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lang w:val="en-US" w:eastAsia="zh-CN"/>
                    </w:rPr>
                  </w:pPr>
                  <w:r>
                    <w:rPr>
                      <w:rFonts w:hint="eastAsia"/>
                      <w:sz w:val="18"/>
                      <w:szCs w:val="18"/>
                      <w:lang w:val="en-US" w:eastAsia="zh-CN"/>
                    </w:rPr>
                    <w:t>理化特征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lang w:val="en-US" w:eastAsia="zh-CN"/>
                    </w:rPr>
                  </w:pPr>
                  <w:r>
                    <w:rPr>
                      <w:rFonts w:hint="eastAsia"/>
                      <w:sz w:val="18"/>
                      <w:szCs w:val="18"/>
                      <w:lang w:val="en-US" w:eastAsia="zh-CN"/>
                    </w:rPr>
                    <w:t>1</w:t>
                  </w:r>
                </w:p>
              </w:tc>
              <w:tc>
                <w:tcPr>
                  <w:tcW w:w="1236" w:type="dxa"/>
                  <w:tcBorders>
                    <w:tl2br w:val="nil"/>
                    <w:tr2bl w:val="nil"/>
                  </w:tcBorders>
                  <w:vAlign w:val="center"/>
                </w:tcPr>
                <w:p>
                  <w:pPr>
                    <w:keepNext w:val="0"/>
                    <w:keepLines w:val="0"/>
                    <w:widowControl/>
                    <w:suppressLineNumbers w:val="0"/>
                    <w:jc w:val="left"/>
                    <w:rPr>
                      <w:rFonts w:hint="eastAsia"/>
                      <w:sz w:val="18"/>
                      <w:szCs w:val="18"/>
                      <w:lang w:val="en-US" w:eastAsia="zh-CN"/>
                    </w:rPr>
                  </w:pPr>
                  <w:r>
                    <w:rPr>
                      <w:rFonts w:hint="eastAsia" w:ascii="Times New Roman" w:hAnsi="Times New Roman" w:eastAsia="宋体" w:cs="Times New Roman"/>
                      <w:sz w:val="18"/>
                      <w:szCs w:val="18"/>
                      <w:lang w:val="en-US" w:eastAsia="zh-CN"/>
                    </w:rPr>
                    <w:t>十二烷基磺酸钠</w:t>
                  </w:r>
                </w:p>
              </w:tc>
              <w:tc>
                <w:tcPr>
                  <w:tcW w:w="63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sz w:val="18"/>
                      <w:szCs w:val="18"/>
                      <w:lang w:val="en-US" w:eastAsia="zh-CN"/>
                    </w:rPr>
                  </w:pPr>
                  <w:r>
                    <w:rPr>
                      <w:rFonts w:hint="default"/>
                      <w:sz w:val="18"/>
                      <w:szCs w:val="18"/>
                      <w:lang w:val="en-US" w:eastAsia="zh-CN"/>
                    </w:rPr>
                    <w:t>CAS号:2386-53-0分子量:272.38</w:t>
                  </w:r>
                  <w:r>
                    <w:rPr>
                      <w:rFonts w:hint="eastAsia"/>
                      <w:sz w:val="18"/>
                      <w:szCs w:val="18"/>
                      <w:lang w:val="en-US" w:eastAsia="zh-CN"/>
                    </w:rPr>
                    <w:t>，熔点：&gt;300 C，</w:t>
                  </w:r>
                  <w:r>
                    <w:rPr>
                      <w:rFonts w:hint="default"/>
                      <w:sz w:val="18"/>
                      <w:szCs w:val="18"/>
                      <w:lang w:val="en-US" w:eastAsia="zh-CN"/>
                    </w:rPr>
                    <w:t>白色或浅黄色结晶或粉末，PH值5.5-7.5 (100g/l, H2O, 20℃)</w:t>
                  </w:r>
                  <w:r>
                    <w:rPr>
                      <w:rFonts w:hint="eastAsia"/>
                      <w:sz w:val="18"/>
                      <w:szCs w:val="18"/>
                      <w:lang w:val="en-US" w:eastAsia="zh-CN"/>
                    </w:rPr>
                    <w:t>，</w:t>
                  </w:r>
                  <w:r>
                    <w:rPr>
                      <w:rFonts w:hint="default"/>
                      <w:sz w:val="18"/>
                      <w:szCs w:val="18"/>
                      <w:lang w:val="en-US" w:eastAsia="zh-CN"/>
                    </w:rPr>
                    <w:t>易溶于热水，溶于热乙醇，不溶于冷水、石油醚。属阴离子表面活性剂，具有优异的渗透、洗涤、润湿、去污和乳化作用。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lang w:val="en-US" w:eastAsia="zh-CN"/>
                    </w:rPr>
                  </w:pPr>
                  <w:r>
                    <w:rPr>
                      <w:rFonts w:hint="eastAsia"/>
                      <w:sz w:val="18"/>
                      <w:szCs w:val="18"/>
                      <w:lang w:val="en-US" w:eastAsia="zh-CN"/>
                    </w:rPr>
                    <w:t>2</w:t>
                  </w:r>
                </w:p>
              </w:tc>
              <w:tc>
                <w:tcPr>
                  <w:tcW w:w="12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lang w:val="en-US" w:eastAsia="zh-CN"/>
                    </w:rPr>
                  </w:pPr>
                  <w:r>
                    <w:rPr>
                      <w:rFonts w:hint="eastAsia"/>
                      <w:sz w:val="18"/>
                      <w:szCs w:val="18"/>
                      <w:lang w:val="en-US" w:eastAsia="zh-CN"/>
                    </w:rPr>
                    <w:t>硅酸盐</w:t>
                  </w:r>
                </w:p>
              </w:tc>
              <w:tc>
                <w:tcPr>
                  <w:tcW w:w="63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lang w:val="en-US" w:eastAsia="zh-CN"/>
                    </w:rPr>
                  </w:pPr>
                  <w:r>
                    <w:rPr>
                      <w:rFonts w:hint="default"/>
                      <w:sz w:val="18"/>
                      <w:szCs w:val="18"/>
                      <w:lang w:val="en-US" w:eastAsia="zh-CN"/>
                    </w:rPr>
                    <w:t>外观：略带蓝光的半透明至透明液体、固含量%：20～40、pH值：6.5~7.0。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lang w:val="en-US" w:eastAsia="zh-CN"/>
                    </w:rPr>
                  </w:pPr>
                  <w:r>
                    <w:rPr>
                      <w:rFonts w:hint="eastAsia"/>
                      <w:sz w:val="18"/>
                      <w:szCs w:val="18"/>
                      <w:lang w:val="en-US" w:eastAsia="zh-CN"/>
                    </w:rPr>
                    <w:t>3</w:t>
                  </w:r>
                </w:p>
              </w:tc>
              <w:tc>
                <w:tcPr>
                  <w:tcW w:w="12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lang w:val="en-US" w:eastAsia="zh-CN"/>
                    </w:rPr>
                  </w:pPr>
                  <w:r>
                    <w:rPr>
                      <w:rFonts w:hint="eastAsia"/>
                      <w:sz w:val="18"/>
                      <w:szCs w:val="18"/>
                      <w:lang w:val="en-US" w:eastAsia="zh-CN"/>
                    </w:rPr>
                    <w:t>柔软平滑剂</w:t>
                  </w:r>
                </w:p>
              </w:tc>
              <w:tc>
                <w:tcPr>
                  <w:tcW w:w="63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sz w:val="18"/>
                      <w:szCs w:val="18"/>
                      <w:lang w:val="en-US" w:eastAsia="zh-CN"/>
                    </w:rPr>
                  </w:pPr>
                  <w:r>
                    <w:rPr>
                      <w:rFonts w:hint="default"/>
                      <w:sz w:val="18"/>
                      <w:szCs w:val="18"/>
                      <w:lang w:val="en-US" w:eastAsia="zh-CN"/>
                    </w:rPr>
                    <w:t>酯基季铵盐是一种新型阳离子表面活性剂，具有优异的柔软、抗静电性能，抗黄变。不含APEO、甲醛，易生物降解，绿色环保。用量少，效果好，配制方便，综合成本低，具有极高的性价比</w:t>
                  </w:r>
                </w:p>
              </w:tc>
            </w:tr>
          </w:tbl>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rPr>
                <w:rFonts w:hint="default"/>
                <w:b/>
                <w:bCs/>
                <w:lang w:val="en-US" w:eastAsia="zh-CN"/>
              </w:rPr>
            </w:pPr>
            <w:r>
              <w:rPr>
                <w:rFonts w:hint="eastAsia"/>
                <w:b/>
                <w:bCs/>
                <w:lang w:val="en-US" w:eastAsia="zh-CN"/>
              </w:rPr>
              <w:t>4、生产设备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lang w:val="en-US" w:eastAsia="zh-CN"/>
              </w:rPr>
            </w:pPr>
            <w:r>
              <w:rPr>
                <w:rFonts w:hint="eastAsia"/>
                <w:b/>
                <w:bCs/>
                <w:lang w:val="en-US" w:eastAsia="zh-CN"/>
              </w:rPr>
              <w:t>表2-4主要生产设备一览表</w:t>
            </w:r>
          </w:p>
          <w:tbl>
            <w:tblPr>
              <w:tblStyle w:val="12"/>
              <w:tblW w:w="8357"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95"/>
              <w:gridCol w:w="1264"/>
              <w:gridCol w:w="1515"/>
              <w:gridCol w:w="1697"/>
              <w:gridCol w:w="1393"/>
              <w:gridCol w:w="139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095" w:type="dxa"/>
                  <w:tcBorders>
                    <w:tl2br w:val="nil"/>
                    <w:tr2bl w:val="nil"/>
                  </w:tcBorders>
                </w:tcPr>
                <w:p>
                  <w:pPr>
                    <w:bidi w:val="0"/>
                    <w:jc w:val="center"/>
                    <w:rPr>
                      <w:rFonts w:hint="default"/>
                      <w:sz w:val="18"/>
                      <w:szCs w:val="18"/>
                      <w:lang w:val="en-US" w:eastAsia="zh-CN"/>
                    </w:rPr>
                  </w:pPr>
                  <w:r>
                    <w:rPr>
                      <w:rFonts w:hint="eastAsia"/>
                      <w:sz w:val="18"/>
                      <w:szCs w:val="18"/>
                      <w:lang w:val="en-US" w:eastAsia="zh-CN"/>
                    </w:rPr>
                    <w:t>序号</w:t>
                  </w:r>
                </w:p>
              </w:tc>
              <w:tc>
                <w:tcPr>
                  <w:tcW w:w="1264"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设备名称</w:t>
                  </w:r>
                </w:p>
              </w:tc>
              <w:tc>
                <w:tcPr>
                  <w:tcW w:w="1515" w:type="dxa"/>
                  <w:tcBorders>
                    <w:tl2br w:val="nil"/>
                    <w:tr2bl w:val="nil"/>
                  </w:tcBorders>
                </w:tcPr>
                <w:p>
                  <w:pPr>
                    <w:bidi w:val="0"/>
                    <w:jc w:val="center"/>
                    <w:rPr>
                      <w:rFonts w:hint="default"/>
                      <w:sz w:val="18"/>
                      <w:szCs w:val="18"/>
                      <w:lang w:val="en-US" w:eastAsia="zh-CN"/>
                    </w:rPr>
                  </w:pPr>
                  <w:r>
                    <w:rPr>
                      <w:rFonts w:hint="eastAsia"/>
                      <w:sz w:val="18"/>
                      <w:szCs w:val="18"/>
                      <w:lang w:val="en-US" w:eastAsia="zh-CN"/>
                    </w:rPr>
                    <w:t>型号</w:t>
                  </w:r>
                </w:p>
              </w:tc>
              <w:tc>
                <w:tcPr>
                  <w:tcW w:w="1697"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技改前</w:t>
                  </w:r>
                </w:p>
              </w:tc>
              <w:tc>
                <w:tcPr>
                  <w:tcW w:w="1393"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技改后</w:t>
                  </w:r>
                </w:p>
              </w:tc>
              <w:tc>
                <w:tcPr>
                  <w:tcW w:w="1393"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变化量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w:t>
                  </w:r>
                </w:p>
              </w:tc>
              <w:tc>
                <w:tcPr>
                  <w:tcW w:w="1264"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洗衣机</w:t>
                  </w:r>
                </w:p>
              </w:tc>
              <w:tc>
                <w:tcPr>
                  <w:tcW w:w="1515" w:type="dxa"/>
                  <w:tcBorders>
                    <w:tl2br w:val="nil"/>
                    <w:tr2bl w:val="nil"/>
                  </w:tcBorders>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8</w:t>
                  </w:r>
                  <w:r>
                    <w:rPr>
                      <w:rFonts w:hint="eastAsia" w:ascii="Times New Roman" w:hAnsi="Times New Roman" w:eastAsia="宋体" w:cs="Times New Roman"/>
                      <w:sz w:val="18"/>
                      <w:szCs w:val="18"/>
                      <w:lang w:val="en-US" w:eastAsia="zh-CN"/>
                    </w:rPr>
                    <w:t>8</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w:t>
                  </w:r>
                  <w:r>
                    <w:rPr>
                      <w:rFonts w:hint="eastAsia" w:ascii="Times New Roman" w:hAnsi="Times New Roman" w:eastAsia="宋体" w:cs="Times New Roman"/>
                      <w:sz w:val="18"/>
                      <w:szCs w:val="18"/>
                      <w:lang w:val="en-US" w:eastAsia="zh-CN"/>
                    </w:rPr>
                    <w:t>2</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6</w:t>
                  </w:r>
                  <w:r>
                    <w:rPr>
                      <w:rFonts w:hint="eastAsia" w:cs="Times New Roman"/>
                      <w:sz w:val="18"/>
                      <w:szCs w:val="18"/>
                      <w:lang w:val="en-US" w:eastAsia="zh-CN"/>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w:t>
                  </w:r>
                </w:p>
              </w:tc>
              <w:tc>
                <w:tcPr>
                  <w:tcW w:w="1264"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脱水机</w:t>
                  </w:r>
                </w:p>
              </w:tc>
              <w:tc>
                <w:tcPr>
                  <w:tcW w:w="1515" w:type="dxa"/>
                  <w:tcBorders>
                    <w:tl2br w:val="nil"/>
                    <w:tr2bl w:val="nil"/>
                  </w:tcBorders>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tcBorders>
                    <w:tl2br w:val="nil"/>
                    <w:tr2bl w:val="nil"/>
                  </w:tcBorders>
                  <w:vAlign w:val="center"/>
                </w:tcPr>
                <w:p>
                  <w:pPr>
                    <w:bidi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w:t>
                  </w:r>
                </w:p>
              </w:tc>
              <w:tc>
                <w:tcPr>
                  <w:tcW w:w="1264"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烘干机</w:t>
                  </w:r>
                </w:p>
              </w:tc>
              <w:tc>
                <w:tcPr>
                  <w:tcW w:w="1515" w:type="dxa"/>
                  <w:tcBorders>
                    <w:tl2br w:val="nil"/>
                    <w:tr2bl w:val="nil"/>
                  </w:tcBorders>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80</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vMerge w:val="restart"/>
                  <w:tcBorders>
                    <w:tl2br w:val="nil"/>
                    <w:tr2bl w:val="nil"/>
                  </w:tcBorders>
                  <w:vAlign w:val="center"/>
                </w:tcPr>
                <w:p>
                  <w:pPr>
                    <w:bidi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4</w:t>
                  </w:r>
                </w:p>
                <w:p>
                  <w:pPr>
                    <w:bidi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5</w:t>
                  </w:r>
                </w:p>
                <w:p>
                  <w:pPr>
                    <w:bidi w:val="0"/>
                    <w:jc w:val="center"/>
                    <w:rPr>
                      <w:rFonts w:hint="default"/>
                      <w:sz w:val="18"/>
                      <w:szCs w:val="18"/>
                      <w:lang w:val="en-US" w:eastAsia="zh-CN"/>
                    </w:rPr>
                  </w:pPr>
                </w:p>
              </w:tc>
              <w:tc>
                <w:tcPr>
                  <w:tcW w:w="1264" w:type="dxa"/>
                  <w:vMerge w:val="restart"/>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电脑横机</w:t>
                  </w:r>
                </w:p>
              </w:tc>
              <w:tc>
                <w:tcPr>
                  <w:tcW w:w="1515"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16G</w:t>
                  </w:r>
                </w:p>
              </w:tc>
              <w:tc>
                <w:tcPr>
                  <w:tcW w:w="1697"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tc>
              <w:tc>
                <w:tcPr>
                  <w:tcW w:w="1393" w:type="dxa"/>
                  <w:tcBorders>
                    <w:tl2br w:val="nil"/>
                    <w:tr2bl w:val="nil"/>
                  </w:tcBorders>
                  <w:vAlign w:val="top"/>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14G</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w:t>
                  </w:r>
                </w:p>
              </w:tc>
              <w:tc>
                <w:tcPr>
                  <w:tcW w:w="1393"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24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12G</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128</w:t>
                  </w:r>
                </w:p>
              </w:tc>
              <w:tc>
                <w:tcPr>
                  <w:tcW w:w="1393"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96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5-7G</w:t>
                  </w:r>
                </w:p>
              </w:tc>
              <w:tc>
                <w:tcPr>
                  <w:tcW w:w="1697"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56</w:t>
                  </w:r>
                </w:p>
              </w:tc>
              <w:tc>
                <w:tcPr>
                  <w:tcW w:w="1393"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14</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42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3G</w:t>
                  </w:r>
                </w:p>
              </w:tc>
              <w:tc>
                <w:tcPr>
                  <w:tcW w:w="1697"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48</w:t>
                  </w:r>
                </w:p>
              </w:tc>
              <w:tc>
                <w:tcPr>
                  <w:tcW w:w="1393"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36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tcBorders>
                    <w:tl2br w:val="nil"/>
                    <w:tr2bl w:val="nil"/>
                  </w:tcBorders>
                  <w:vAlign w:val="center"/>
                </w:tcPr>
                <w:p>
                  <w:pPr>
                    <w:bidi w:val="0"/>
                    <w:jc w:val="center"/>
                    <w:rPr>
                      <w:rFonts w:hint="default"/>
                      <w:sz w:val="18"/>
                      <w:szCs w:val="18"/>
                      <w:lang w:val="en-US" w:eastAsia="zh-CN"/>
                    </w:rPr>
                  </w:pPr>
                </w:p>
              </w:tc>
              <w:tc>
                <w:tcPr>
                  <w:tcW w:w="1264"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吸风烫台</w:t>
                  </w:r>
                </w:p>
              </w:tc>
              <w:tc>
                <w:tcPr>
                  <w:tcW w:w="1515" w:type="dxa"/>
                  <w:tcBorders>
                    <w:tl2br w:val="nil"/>
                    <w:tr2bl w:val="nil"/>
                  </w:tcBorders>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1800*900</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120</w:t>
                  </w:r>
                </w:p>
              </w:tc>
              <w:tc>
                <w:tcPr>
                  <w:tcW w:w="1393" w:type="dxa"/>
                  <w:tcBorders>
                    <w:tl2br w:val="nil"/>
                    <w:tr2bl w:val="nil"/>
                  </w:tcBorders>
                  <w:vAlign w:val="top"/>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30</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90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tcBorders>
                    <w:tl2br w:val="nil"/>
                    <w:tr2bl w:val="nil"/>
                  </w:tcBorders>
                  <w:vAlign w:val="center"/>
                </w:tcPr>
                <w:p>
                  <w:pPr>
                    <w:bidi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6</w:t>
                  </w:r>
                </w:p>
              </w:tc>
              <w:tc>
                <w:tcPr>
                  <w:tcW w:w="1264"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灯检</w:t>
                  </w:r>
                </w:p>
              </w:tc>
              <w:tc>
                <w:tcPr>
                  <w:tcW w:w="1515" w:type="dxa"/>
                  <w:tcBorders>
                    <w:tl2br w:val="nil"/>
                    <w:tr2bl w:val="nil"/>
                  </w:tcBorders>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16</w:t>
                  </w:r>
                </w:p>
              </w:tc>
              <w:tc>
                <w:tcPr>
                  <w:tcW w:w="1393" w:type="dxa"/>
                  <w:tcBorders>
                    <w:tl2br w:val="nil"/>
                    <w:tr2bl w:val="nil"/>
                  </w:tcBorders>
                  <w:vAlign w:val="top"/>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12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tcBorders>
                    <w:tl2br w:val="nil"/>
                    <w:tr2bl w:val="nil"/>
                  </w:tcBorders>
                  <w:vAlign w:val="center"/>
                </w:tcPr>
                <w:p>
                  <w:pPr>
                    <w:bidi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7</w:t>
                  </w:r>
                </w:p>
              </w:tc>
              <w:tc>
                <w:tcPr>
                  <w:tcW w:w="1264"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检针机</w:t>
                  </w:r>
                </w:p>
              </w:tc>
              <w:tc>
                <w:tcPr>
                  <w:tcW w:w="1515" w:type="dxa"/>
                  <w:tcBorders>
                    <w:tl2br w:val="nil"/>
                    <w:tr2bl w:val="nil"/>
                  </w:tcBorders>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tc>
              <w:tc>
                <w:tcPr>
                  <w:tcW w:w="1393" w:type="dxa"/>
                  <w:tcBorders>
                    <w:tl2br w:val="nil"/>
                    <w:tr2bl w:val="nil"/>
                  </w:tcBorders>
                  <w:vAlign w:val="top"/>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095" w:type="dxa"/>
                  <w:tcBorders>
                    <w:tl2br w:val="nil"/>
                    <w:tr2bl w:val="nil"/>
                  </w:tcBorders>
                  <w:vAlign w:val="center"/>
                </w:tcPr>
                <w:p>
                  <w:pPr>
                    <w:bidi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8</w:t>
                  </w:r>
                </w:p>
              </w:tc>
              <w:tc>
                <w:tcPr>
                  <w:tcW w:w="1264"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平缝车</w:t>
                  </w:r>
                </w:p>
              </w:tc>
              <w:tc>
                <w:tcPr>
                  <w:tcW w:w="1515" w:type="dxa"/>
                  <w:tcBorders>
                    <w:tl2br w:val="nil"/>
                    <w:tr2bl w:val="nil"/>
                  </w:tcBorders>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48</w:t>
                  </w:r>
                </w:p>
              </w:tc>
              <w:tc>
                <w:tcPr>
                  <w:tcW w:w="1393" w:type="dxa"/>
                  <w:tcBorders>
                    <w:tl2br w:val="nil"/>
                    <w:tr2bl w:val="nil"/>
                  </w:tcBorders>
                  <w:vAlign w:val="top"/>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36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9</w:t>
                  </w:r>
                </w:p>
              </w:tc>
              <w:tc>
                <w:tcPr>
                  <w:tcW w:w="1264" w:type="dxa"/>
                  <w:vMerge w:val="restart"/>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圆盘缝合机</w:t>
                  </w:r>
                </w:p>
              </w:tc>
              <w:tc>
                <w:tcPr>
                  <w:tcW w:w="1515" w:type="dxa"/>
                  <w:tcBorders>
                    <w:tl2br w:val="nil"/>
                    <w:tr2bl w:val="nil"/>
                  </w:tcBorders>
                  <w:vAlign w:val="top"/>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20G</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16</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tc>
              <w:tc>
                <w:tcPr>
                  <w:tcW w:w="1393"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12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18G</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24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16G</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24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14G</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56</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14</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42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10G</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40</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30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8G</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40</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30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5G</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40</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30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vMerge w:val="continue"/>
                  <w:tcBorders>
                    <w:tl2br w:val="nil"/>
                    <w:tr2bl w:val="nil"/>
                  </w:tcBorders>
                  <w:vAlign w:val="center"/>
                </w:tcPr>
                <w:p>
                  <w:pPr>
                    <w:bidi w:val="0"/>
                    <w:jc w:val="center"/>
                    <w:rPr>
                      <w:rFonts w:hint="eastAsia"/>
                      <w:sz w:val="18"/>
                      <w:szCs w:val="18"/>
                      <w:lang w:val="en-US" w:eastAsia="zh-CN"/>
                    </w:rPr>
                  </w:pPr>
                </w:p>
              </w:tc>
              <w:tc>
                <w:tcPr>
                  <w:tcW w:w="1264" w:type="dxa"/>
                  <w:vMerge w:val="continue"/>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p>
              </w:tc>
              <w:tc>
                <w:tcPr>
                  <w:tcW w:w="1515"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3G</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24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10</w:t>
                  </w:r>
                </w:p>
              </w:tc>
              <w:tc>
                <w:tcPr>
                  <w:tcW w:w="1264"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锁眼车</w:t>
                  </w:r>
                </w:p>
              </w:tc>
              <w:tc>
                <w:tcPr>
                  <w:tcW w:w="1515" w:type="dxa"/>
                  <w:tcBorders>
                    <w:tl2br w:val="nil"/>
                    <w:tr2bl w:val="nil"/>
                  </w:tcBorders>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tcBorders>
                    <w:tl2br w:val="nil"/>
                    <w:tr2bl w:val="nil"/>
                  </w:tcBorders>
                  <w:vAlign w:val="center"/>
                </w:tcPr>
                <w:p>
                  <w:pPr>
                    <w:bidi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11</w:t>
                  </w:r>
                </w:p>
              </w:tc>
              <w:tc>
                <w:tcPr>
                  <w:tcW w:w="1264"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订扣车</w:t>
                  </w:r>
                </w:p>
              </w:tc>
              <w:tc>
                <w:tcPr>
                  <w:tcW w:w="1515" w:type="dxa"/>
                  <w:tcBorders>
                    <w:tl2br w:val="nil"/>
                    <w:tr2bl w:val="nil"/>
                  </w:tcBorders>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tcBorders>
                    <w:tl2br w:val="nil"/>
                    <w:tr2bl w:val="nil"/>
                  </w:tcBorders>
                  <w:vAlign w:val="center"/>
                </w:tcPr>
                <w:p>
                  <w:pPr>
                    <w:bidi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12</w:t>
                  </w:r>
                </w:p>
              </w:tc>
              <w:tc>
                <w:tcPr>
                  <w:tcW w:w="1264"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无线绷缝车</w:t>
                  </w:r>
                </w:p>
              </w:tc>
              <w:tc>
                <w:tcPr>
                  <w:tcW w:w="1515" w:type="dxa"/>
                  <w:tcBorders>
                    <w:tl2br w:val="nil"/>
                    <w:tr2bl w:val="nil"/>
                  </w:tcBorders>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095" w:type="dxa"/>
                  <w:tcBorders>
                    <w:tl2br w:val="nil"/>
                    <w:tr2bl w:val="nil"/>
                  </w:tcBorders>
                  <w:vAlign w:val="center"/>
                </w:tcPr>
                <w:p>
                  <w:pPr>
                    <w:bidi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13</w:t>
                  </w:r>
                </w:p>
              </w:tc>
              <w:tc>
                <w:tcPr>
                  <w:tcW w:w="1264" w:type="dxa"/>
                  <w:tcBorders>
                    <w:tl2br w:val="nil"/>
                    <w:tr2bl w:val="nil"/>
                  </w:tcBorders>
                  <w:vAlign w:val="top"/>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五线拷边车</w:t>
                  </w:r>
                </w:p>
              </w:tc>
              <w:tc>
                <w:tcPr>
                  <w:tcW w:w="1515" w:type="dxa"/>
                  <w:tcBorders>
                    <w:tl2br w:val="nil"/>
                    <w:tr2bl w:val="nil"/>
                  </w:tcBorders>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1697" w:type="dxa"/>
                  <w:tcBorders>
                    <w:tl2br w:val="nil"/>
                    <w:tr2bl w:val="nil"/>
                  </w:tcBorders>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w:t>
                  </w:r>
                </w:p>
              </w:tc>
              <w:tc>
                <w:tcPr>
                  <w:tcW w:w="1393" w:type="dxa"/>
                  <w:tcBorders>
                    <w:tl2br w:val="nil"/>
                    <w:tr2bl w:val="nil"/>
                  </w:tcBorders>
                  <w:vAlign w:val="center"/>
                </w:tcPr>
                <w:p>
                  <w:pPr>
                    <w:bidi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9</w:t>
                  </w:r>
                </w:p>
              </w:tc>
            </w:tr>
          </w:tbl>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default"/>
                <w:b/>
                <w:bCs/>
                <w:lang w:val="en-US" w:eastAsia="zh-CN"/>
              </w:rPr>
            </w:pPr>
            <w:r>
              <w:rPr>
                <w:rFonts w:hint="eastAsia"/>
                <w:b/>
                <w:bCs/>
                <w:lang w:val="en-US" w:eastAsia="zh-CN"/>
              </w:rPr>
              <w:t>5、工程内容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default"/>
                <w:lang w:val="en-US" w:eastAsia="zh-CN"/>
              </w:rPr>
              <w:t>项目工程内容主要包括主体工程、辅助工程、公用工程及环保工程等，具体内容见表2-</w:t>
            </w: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center"/>
              <w:textAlignment w:val="auto"/>
              <w:rPr>
                <w:rFonts w:hint="default"/>
                <w:lang w:val="en-US" w:eastAsia="zh-CN"/>
              </w:rPr>
            </w:pPr>
            <w:r>
              <w:rPr>
                <w:rFonts w:hint="eastAsia"/>
                <w:b/>
                <w:bCs/>
                <w:lang w:val="en-US" w:eastAsia="zh-CN"/>
              </w:rPr>
              <w:t>表2-5 项目工程内容一览表</w:t>
            </w:r>
          </w:p>
          <w:tbl>
            <w:tblPr>
              <w:tblStyle w:val="12"/>
              <w:tblW w:w="82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64"/>
              <w:gridCol w:w="1955"/>
              <w:gridCol w:w="1755"/>
              <w:gridCol w:w="1290"/>
              <w:gridCol w:w="18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工程名称</w:t>
                  </w:r>
                </w:p>
              </w:tc>
              <w:tc>
                <w:tcPr>
                  <w:tcW w:w="764"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建设名称</w:t>
                  </w:r>
                </w:p>
              </w:tc>
              <w:tc>
                <w:tcPr>
                  <w:tcW w:w="5000" w:type="dxa"/>
                  <w:gridSpan w:val="3"/>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建设内容</w:t>
                  </w:r>
                </w:p>
              </w:tc>
              <w:tc>
                <w:tcPr>
                  <w:tcW w:w="1828"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7" w:type="dxa"/>
                  <w:vMerge w:val="continue"/>
                  <w:tcBorders>
                    <w:tl2br w:val="nil"/>
                    <w:tr2bl w:val="nil"/>
                  </w:tcBorders>
                  <w:vAlign w:val="center"/>
                </w:tcPr>
                <w:p>
                  <w:pPr>
                    <w:bidi w:val="0"/>
                    <w:jc w:val="center"/>
                    <w:rPr>
                      <w:rFonts w:hint="default"/>
                      <w:sz w:val="18"/>
                      <w:szCs w:val="18"/>
                      <w:lang w:val="en-US" w:eastAsia="zh-CN"/>
                    </w:rPr>
                  </w:pPr>
                </w:p>
              </w:tc>
              <w:tc>
                <w:tcPr>
                  <w:tcW w:w="764" w:type="dxa"/>
                  <w:vMerge w:val="continue"/>
                  <w:tcBorders>
                    <w:tl2br w:val="nil"/>
                    <w:tr2bl w:val="nil"/>
                  </w:tcBorders>
                  <w:vAlign w:val="center"/>
                </w:tcPr>
                <w:p>
                  <w:pPr>
                    <w:bidi w:val="0"/>
                    <w:jc w:val="center"/>
                    <w:rPr>
                      <w:rFonts w:hint="default"/>
                      <w:sz w:val="18"/>
                      <w:szCs w:val="18"/>
                      <w:lang w:val="en-US" w:eastAsia="zh-CN"/>
                    </w:rPr>
                  </w:pP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技改前</w:t>
                  </w:r>
                </w:p>
              </w:tc>
              <w:tc>
                <w:tcPr>
                  <w:tcW w:w="17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技改后</w:t>
                  </w:r>
                </w:p>
              </w:tc>
              <w:tc>
                <w:tcPr>
                  <w:tcW w:w="1290"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变化量</w:t>
                  </w:r>
                </w:p>
              </w:tc>
              <w:tc>
                <w:tcPr>
                  <w:tcW w:w="1828" w:type="dxa"/>
                  <w:vMerge w:val="continue"/>
                  <w:tcBorders>
                    <w:tl2br w:val="nil"/>
                    <w:tr2bl w:val="nil"/>
                  </w:tcBorders>
                  <w:vAlign w:val="center"/>
                </w:tcPr>
                <w:p>
                  <w:pPr>
                    <w:bidi w:val="0"/>
                    <w:jc w:val="center"/>
                    <w:rPr>
                      <w:rFonts w:hint="default"/>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07"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主体工程</w:t>
                  </w:r>
                </w:p>
              </w:tc>
              <w:tc>
                <w:tcPr>
                  <w:tcW w:w="764"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厂房一</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1层，建筑面积为2220m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1层，建筑面积为2220m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依托现有，进行平缝、成检、灯检、整烫、总检、包装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厂房二</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1层，建筑面积为1850m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1层，建筑面积为1850m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进行织片、套口、手缝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倒毛车间</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1层，建筑面积为130m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1层，建筑面积为130m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依托现有，进行倒毛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水洗车间一</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1层，建筑面积为165m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1层，建筑面积为165m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依托现有，水洗柔软、脱水、烘干、助剂仓库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水洗车间二</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2层，建筑面积为600m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2层，建筑面积为600m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面积不变，使用用途变更</w:t>
                  </w:r>
                </w:p>
              </w:tc>
              <w:tc>
                <w:tcPr>
                  <w:tcW w:w="1828"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变更为附房一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vMerge w:val="restart"/>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辅助工程</w:t>
                  </w: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办公区</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建筑面积240m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建筑面积240m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依托现有，位于原料仓库一的二、三层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食堂</w:t>
                  </w:r>
                </w:p>
              </w:tc>
              <w:tc>
                <w:tcPr>
                  <w:tcW w:w="19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建筑面积200m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建筑面积200m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附房二</w:t>
                  </w:r>
                </w:p>
              </w:tc>
              <w:tc>
                <w:tcPr>
                  <w:tcW w:w="19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建筑面积200m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建筑面积200m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07" w:type="dxa"/>
                  <w:vMerge w:val="restart"/>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储运工程</w:t>
                  </w: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原料仓库一</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3层，建筑面积400m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3层，建筑面积400m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依托现有，一层为原料仓库，二、三层为办公区域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原料仓库二</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2层，建筑面积240m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2层，建筑面积300m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依托现有，存放原材料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助剂仓库</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1层，建筑面积22m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1层，建筑面积22m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依托现有，存放洗涤剂、柔软平滑剂等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半成品仓库</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2层，建筑面积300m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2层，建筑面积300m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依托现有，位于原水洗车间二，现为附房的二、三层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成品仓库</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1层，建筑面积444m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1层，建筑面积444m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依托现有，存放成品仓库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7" w:type="dxa"/>
                  <w:vMerge w:val="restart"/>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公用工程</w:t>
                  </w: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给水</w:t>
                  </w:r>
                </w:p>
              </w:tc>
              <w:tc>
                <w:tcPr>
                  <w:tcW w:w="19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8133.5t/a</w:t>
                  </w:r>
                </w:p>
              </w:tc>
              <w:tc>
                <w:tcPr>
                  <w:tcW w:w="17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4244t/a</w:t>
                  </w:r>
                </w:p>
              </w:tc>
              <w:tc>
                <w:tcPr>
                  <w:tcW w:w="1290"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减少3709.5t/a</w:t>
                  </w:r>
                </w:p>
              </w:tc>
              <w:tc>
                <w:tcPr>
                  <w:tcW w:w="1828"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市政管网供水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排水</w:t>
                  </w:r>
                </w:p>
              </w:tc>
              <w:tc>
                <w:tcPr>
                  <w:tcW w:w="19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8003.55t/a</w:t>
                  </w:r>
                </w:p>
              </w:tc>
              <w:tc>
                <w:tcPr>
                  <w:tcW w:w="17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4353t/a</w:t>
                  </w:r>
                </w:p>
              </w:tc>
              <w:tc>
                <w:tcPr>
                  <w:tcW w:w="1290"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减少3470.55t/a</w:t>
                  </w:r>
                </w:p>
              </w:tc>
              <w:tc>
                <w:tcPr>
                  <w:tcW w:w="1828"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接管进入启东市城市污水处理厂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供电</w:t>
                  </w:r>
                </w:p>
              </w:tc>
              <w:tc>
                <w:tcPr>
                  <w:tcW w:w="19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24万kwh/a</w:t>
                  </w:r>
                </w:p>
              </w:tc>
              <w:tc>
                <w:tcPr>
                  <w:tcW w:w="17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20万kwh/a</w:t>
                  </w:r>
                </w:p>
              </w:tc>
              <w:tc>
                <w:tcPr>
                  <w:tcW w:w="1290"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highlight w:val="none"/>
                      <w:lang w:val="en-US" w:eastAsia="zh-CN"/>
                    </w:rPr>
                    <w:t>减少</w:t>
                  </w:r>
                  <w:r>
                    <w:rPr>
                      <w:rFonts w:hint="eastAsia"/>
                      <w:color w:val="auto"/>
                      <w:sz w:val="18"/>
                      <w:szCs w:val="18"/>
                      <w:lang w:val="en-US" w:eastAsia="zh-CN"/>
                    </w:rPr>
                    <w:t>4万kwh/a</w:t>
                  </w:r>
                </w:p>
              </w:tc>
              <w:tc>
                <w:tcPr>
                  <w:tcW w:w="1828"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市政供电管网供电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蒸汽</w:t>
                  </w:r>
                </w:p>
              </w:tc>
              <w:tc>
                <w:tcPr>
                  <w:tcW w:w="19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3460t/a</w:t>
                  </w:r>
                </w:p>
              </w:tc>
              <w:tc>
                <w:tcPr>
                  <w:tcW w:w="17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600t/a</w:t>
                  </w:r>
                </w:p>
              </w:tc>
              <w:tc>
                <w:tcPr>
                  <w:tcW w:w="1290"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减少2860t/a</w:t>
                  </w:r>
                </w:p>
              </w:tc>
              <w:tc>
                <w:tcPr>
                  <w:tcW w:w="1828" w:type="dxa"/>
                  <w:tcBorders>
                    <w:tl2br w:val="nil"/>
                    <w:tr2bl w:val="nil"/>
                  </w:tcBorders>
                  <w:vAlign w:val="center"/>
                </w:tcPr>
                <w:p>
                  <w:pPr>
                    <w:bidi w:val="0"/>
                    <w:jc w:val="center"/>
                    <w:rPr>
                      <w:rFonts w:hint="eastAsia"/>
                      <w:color w:val="auto"/>
                      <w:sz w:val="18"/>
                      <w:szCs w:val="18"/>
                      <w:lang w:val="en-US" w:eastAsia="zh-CN"/>
                    </w:rPr>
                  </w:pPr>
                  <w:r>
                    <w:rPr>
                      <w:rFonts w:hint="eastAsia"/>
                      <w:color w:val="auto"/>
                      <w:sz w:val="18"/>
                      <w:szCs w:val="18"/>
                      <w:lang w:val="en-US" w:eastAsia="zh-CN"/>
                    </w:rPr>
                    <w:t>依托开发区蒸汽管网供热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7" w:type="dxa"/>
                  <w:vMerge w:val="restart"/>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环保工程</w:t>
                  </w: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废水</w:t>
                  </w:r>
                </w:p>
              </w:tc>
              <w:tc>
                <w:tcPr>
                  <w:tcW w:w="1955" w:type="dxa"/>
                  <w:tcBorders>
                    <w:tl2br w:val="nil"/>
                    <w:tr2bl w:val="nil"/>
                  </w:tcBorders>
                  <w:vAlign w:val="center"/>
                </w:tcPr>
                <w:p>
                  <w:pPr>
                    <w:bidi w:val="0"/>
                    <w:jc w:val="both"/>
                    <w:rPr>
                      <w:rFonts w:hint="default"/>
                      <w:color w:val="auto"/>
                      <w:sz w:val="18"/>
                      <w:szCs w:val="18"/>
                      <w:lang w:val="en-US" w:eastAsia="zh-CN"/>
                    </w:rPr>
                  </w:pPr>
                  <w:r>
                    <w:rPr>
                      <w:rFonts w:hint="eastAsia"/>
                      <w:color w:val="auto"/>
                      <w:sz w:val="18"/>
                      <w:szCs w:val="18"/>
                      <w:lang w:val="en-US" w:eastAsia="zh-CN"/>
                    </w:rPr>
                    <w:t>化粪池m</w:t>
                  </w:r>
                  <w:r>
                    <w:rPr>
                      <w:rFonts w:hint="eastAsia"/>
                      <w:color w:val="auto"/>
                      <w:sz w:val="18"/>
                      <w:szCs w:val="18"/>
                      <w:vertAlign w:val="superscript"/>
                      <w:lang w:val="en-US" w:eastAsia="zh-CN"/>
                    </w:rPr>
                    <w:t>3</w:t>
                  </w:r>
                  <w:r>
                    <w:rPr>
                      <w:rFonts w:hint="eastAsia"/>
                      <w:color w:val="auto"/>
                      <w:sz w:val="18"/>
                      <w:szCs w:val="18"/>
                      <w:lang w:val="en-US" w:eastAsia="zh-CN"/>
                    </w:rPr>
                    <w:t>/d、隔油池10m</w:t>
                  </w:r>
                  <w:r>
                    <w:rPr>
                      <w:rFonts w:hint="eastAsia"/>
                      <w:color w:val="auto"/>
                      <w:sz w:val="18"/>
                      <w:szCs w:val="18"/>
                      <w:vertAlign w:val="superscript"/>
                      <w:lang w:val="en-US" w:eastAsia="zh-CN"/>
                    </w:rPr>
                    <w:t>3</w:t>
                  </w:r>
                  <w:r>
                    <w:rPr>
                      <w:rFonts w:hint="eastAsia"/>
                      <w:color w:val="auto"/>
                      <w:sz w:val="18"/>
                      <w:szCs w:val="18"/>
                      <w:lang w:val="en-US" w:eastAsia="zh-CN"/>
                    </w:rPr>
                    <w:t>/d；废水处理设施40m</w:t>
                  </w:r>
                  <w:r>
                    <w:rPr>
                      <w:rFonts w:hint="eastAsia"/>
                      <w:color w:val="auto"/>
                      <w:sz w:val="18"/>
                      <w:szCs w:val="18"/>
                      <w:vertAlign w:val="superscript"/>
                      <w:lang w:val="en-US" w:eastAsia="zh-CN"/>
                    </w:rPr>
                    <w:t>3</w:t>
                  </w:r>
                  <w:r>
                    <w:rPr>
                      <w:rFonts w:hint="eastAsia"/>
                      <w:color w:val="auto"/>
                      <w:sz w:val="18"/>
                      <w:szCs w:val="18"/>
                      <w:lang w:val="en-US" w:eastAsia="zh-CN"/>
                    </w:rPr>
                    <w:t>/d，中水回用设施处理能力24m</w:t>
                  </w:r>
                  <w:r>
                    <w:rPr>
                      <w:rFonts w:hint="eastAsia"/>
                      <w:color w:val="auto"/>
                      <w:sz w:val="18"/>
                      <w:szCs w:val="18"/>
                      <w:vertAlign w:val="superscript"/>
                      <w:lang w:val="en-US" w:eastAsia="zh-CN"/>
                    </w:rPr>
                    <w:t>3</w:t>
                  </w:r>
                  <w:r>
                    <w:rPr>
                      <w:rFonts w:hint="eastAsia"/>
                      <w:color w:val="auto"/>
                      <w:sz w:val="18"/>
                      <w:szCs w:val="18"/>
                      <w:lang w:val="en-US" w:eastAsia="zh-CN"/>
                    </w:rPr>
                    <w:t>/d</w:t>
                  </w:r>
                </w:p>
              </w:tc>
              <w:tc>
                <w:tcPr>
                  <w:tcW w:w="1755" w:type="dxa"/>
                  <w:tcBorders>
                    <w:tl2br w:val="nil"/>
                    <w:tr2bl w:val="nil"/>
                  </w:tcBorders>
                  <w:vAlign w:val="center"/>
                </w:tcPr>
                <w:p>
                  <w:pPr>
                    <w:bidi w:val="0"/>
                    <w:jc w:val="both"/>
                    <w:rPr>
                      <w:rFonts w:hint="default"/>
                      <w:color w:val="auto"/>
                      <w:sz w:val="18"/>
                      <w:szCs w:val="18"/>
                      <w:lang w:val="en-US" w:eastAsia="zh-CN"/>
                    </w:rPr>
                  </w:pPr>
                  <w:r>
                    <w:rPr>
                      <w:rFonts w:hint="eastAsia"/>
                      <w:color w:val="auto"/>
                      <w:sz w:val="18"/>
                      <w:szCs w:val="18"/>
                      <w:lang w:val="en-US" w:eastAsia="zh-CN"/>
                    </w:rPr>
                    <w:t>化粪池m</w:t>
                  </w:r>
                  <w:r>
                    <w:rPr>
                      <w:rFonts w:hint="eastAsia"/>
                      <w:color w:val="auto"/>
                      <w:sz w:val="18"/>
                      <w:szCs w:val="18"/>
                      <w:vertAlign w:val="superscript"/>
                      <w:lang w:val="en-US" w:eastAsia="zh-CN"/>
                    </w:rPr>
                    <w:t>3</w:t>
                  </w:r>
                  <w:r>
                    <w:rPr>
                      <w:rFonts w:hint="eastAsia"/>
                      <w:color w:val="auto"/>
                      <w:sz w:val="18"/>
                      <w:szCs w:val="18"/>
                      <w:lang w:val="en-US" w:eastAsia="zh-CN"/>
                    </w:rPr>
                    <w:t>/d、隔油池10m</w:t>
                  </w:r>
                  <w:r>
                    <w:rPr>
                      <w:rFonts w:hint="eastAsia"/>
                      <w:color w:val="auto"/>
                      <w:sz w:val="18"/>
                      <w:szCs w:val="18"/>
                      <w:vertAlign w:val="superscript"/>
                      <w:lang w:val="en-US" w:eastAsia="zh-CN"/>
                    </w:rPr>
                    <w:t>3</w:t>
                  </w:r>
                  <w:r>
                    <w:rPr>
                      <w:rFonts w:hint="eastAsia"/>
                      <w:color w:val="auto"/>
                      <w:sz w:val="18"/>
                      <w:szCs w:val="18"/>
                      <w:lang w:val="en-US" w:eastAsia="zh-CN"/>
                    </w:rPr>
                    <w:t>/d；废水处理设施30m</w:t>
                  </w:r>
                  <w:r>
                    <w:rPr>
                      <w:rFonts w:hint="eastAsia"/>
                      <w:color w:val="auto"/>
                      <w:sz w:val="18"/>
                      <w:szCs w:val="18"/>
                      <w:vertAlign w:val="superscript"/>
                      <w:lang w:val="en-US" w:eastAsia="zh-CN"/>
                    </w:rPr>
                    <w:t>3</w:t>
                  </w:r>
                  <w:r>
                    <w:rPr>
                      <w:rFonts w:hint="eastAsia"/>
                      <w:color w:val="auto"/>
                      <w:sz w:val="18"/>
                      <w:szCs w:val="18"/>
                      <w:lang w:val="en-US" w:eastAsia="zh-CN"/>
                    </w:rPr>
                    <w:t>/d，</w:t>
                  </w:r>
                </w:p>
              </w:tc>
              <w:tc>
                <w:tcPr>
                  <w:tcW w:w="1290"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污水处理能力减小，工艺改变</w:t>
                  </w:r>
                </w:p>
              </w:tc>
              <w:tc>
                <w:tcPr>
                  <w:tcW w:w="1828" w:type="dxa"/>
                  <w:tcBorders>
                    <w:tl2br w:val="nil"/>
                    <w:tr2bl w:val="nil"/>
                  </w:tcBorders>
                  <w:vAlign w:val="center"/>
                </w:tcPr>
                <w:p>
                  <w:pPr>
                    <w:bidi w:val="0"/>
                    <w:jc w:val="both"/>
                    <w:rPr>
                      <w:rFonts w:hint="default"/>
                      <w:color w:val="auto"/>
                      <w:sz w:val="18"/>
                      <w:szCs w:val="18"/>
                      <w:lang w:val="en-US" w:eastAsia="zh-CN"/>
                    </w:rPr>
                  </w:pPr>
                  <w:r>
                    <w:rPr>
                      <w:rFonts w:hint="default"/>
                      <w:color w:val="auto"/>
                      <w:sz w:val="18"/>
                      <w:szCs w:val="18"/>
                      <w:lang w:val="en-US" w:eastAsia="zh-CN"/>
                    </w:rPr>
                    <w:t>生活污水经隔油池、化粪池处理</w:t>
                  </w:r>
                  <w:r>
                    <w:rPr>
                      <w:rFonts w:hint="eastAsia"/>
                      <w:color w:val="auto"/>
                      <w:sz w:val="18"/>
                      <w:szCs w:val="18"/>
                      <w:lang w:val="en-US" w:eastAsia="zh-CN"/>
                    </w:rPr>
                    <w:t>、生产废水经废水处理设施处理</w:t>
                  </w:r>
                  <w:r>
                    <w:rPr>
                      <w:rFonts w:hint="default"/>
                      <w:color w:val="auto"/>
                      <w:sz w:val="18"/>
                      <w:szCs w:val="18"/>
                      <w:lang w:val="en-US" w:eastAsia="zh-CN"/>
                    </w:rPr>
                    <w:t>后接管启东城市污水处理厂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废气</w:t>
                  </w:r>
                </w:p>
              </w:tc>
              <w:tc>
                <w:tcPr>
                  <w:tcW w:w="19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油烟净化器2000m</w:t>
                  </w:r>
                  <w:r>
                    <w:rPr>
                      <w:rFonts w:hint="eastAsia"/>
                      <w:color w:val="auto"/>
                      <w:sz w:val="18"/>
                      <w:szCs w:val="18"/>
                      <w:vertAlign w:val="superscript"/>
                      <w:lang w:val="en-US" w:eastAsia="zh-CN"/>
                    </w:rPr>
                    <w:t>3</w:t>
                  </w:r>
                  <w:r>
                    <w:rPr>
                      <w:rFonts w:hint="eastAsia"/>
                      <w:color w:val="auto"/>
                      <w:sz w:val="18"/>
                      <w:szCs w:val="18"/>
                      <w:lang w:val="en-US" w:eastAsia="zh-CN"/>
                    </w:rPr>
                    <w:t>/h处理</w:t>
                  </w:r>
                </w:p>
              </w:tc>
              <w:tc>
                <w:tcPr>
                  <w:tcW w:w="17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油烟净化器2000m</w:t>
                  </w:r>
                  <w:r>
                    <w:rPr>
                      <w:rFonts w:hint="eastAsia"/>
                      <w:color w:val="auto"/>
                      <w:sz w:val="18"/>
                      <w:szCs w:val="18"/>
                      <w:vertAlign w:val="superscript"/>
                      <w:lang w:val="en-US" w:eastAsia="zh-CN"/>
                    </w:rPr>
                    <w:t>3</w:t>
                  </w:r>
                  <w:r>
                    <w:rPr>
                      <w:rFonts w:hint="eastAsia"/>
                      <w:color w:val="auto"/>
                      <w:sz w:val="18"/>
                      <w:szCs w:val="18"/>
                      <w:lang w:val="en-US" w:eastAsia="zh-CN"/>
                    </w:rPr>
                    <w:t>/h处理</w:t>
                  </w:r>
                </w:p>
              </w:tc>
              <w:tc>
                <w:tcPr>
                  <w:tcW w:w="1290"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不变</w:t>
                  </w:r>
                </w:p>
              </w:tc>
              <w:tc>
                <w:tcPr>
                  <w:tcW w:w="1828"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食堂依托现有，油烟经油烟净化器处理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vMerge w:val="continue"/>
                  <w:tcBorders>
                    <w:tl2br w:val="nil"/>
                    <w:tr2bl w:val="nil"/>
                  </w:tcBorders>
                  <w:vAlign w:val="center"/>
                </w:tcPr>
                <w:p>
                  <w:pPr>
                    <w:bidi w:val="0"/>
                    <w:jc w:val="center"/>
                    <w:rPr>
                      <w:rFonts w:hint="eastAsia"/>
                      <w:sz w:val="18"/>
                      <w:szCs w:val="18"/>
                      <w:lang w:val="en-US" w:eastAsia="zh-CN"/>
                    </w:rPr>
                  </w:pPr>
                </w:p>
              </w:tc>
              <w:tc>
                <w:tcPr>
                  <w:tcW w:w="19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2根15m排气筒排放</w:t>
                  </w:r>
                </w:p>
              </w:tc>
              <w:tc>
                <w:tcPr>
                  <w:tcW w:w="1755"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0</w:t>
                  </w:r>
                </w:p>
              </w:tc>
              <w:tc>
                <w:tcPr>
                  <w:tcW w:w="1290"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排气筒减少</w:t>
                  </w:r>
                </w:p>
              </w:tc>
              <w:tc>
                <w:tcPr>
                  <w:tcW w:w="1828"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固废</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1间一般固废暂存库10m</w:t>
                  </w:r>
                  <w:r>
                    <w:rPr>
                      <w:rFonts w:hint="eastAsia"/>
                      <w:sz w:val="18"/>
                      <w:szCs w:val="18"/>
                      <w:vertAlign w:val="superscript"/>
                      <w:lang w:val="en-US" w:eastAsia="zh-CN"/>
                    </w:rPr>
                    <w:t>2</w:t>
                  </w:r>
                  <w:r>
                    <w:rPr>
                      <w:rFonts w:hint="eastAsia"/>
                      <w:sz w:val="18"/>
                      <w:szCs w:val="18"/>
                      <w:lang w:val="en-US" w:eastAsia="zh-CN"/>
                    </w:rPr>
                    <w:t>；一间危废仓库3.5m</w:t>
                  </w:r>
                  <w:r>
                    <w:rPr>
                      <w:rFonts w:hint="eastAsia"/>
                      <w:sz w:val="18"/>
                      <w:szCs w:val="18"/>
                      <w:vertAlign w:val="superscript"/>
                      <w:lang w:val="en-US" w:eastAsia="zh-CN"/>
                    </w:rPr>
                    <w:t>2</w:t>
                  </w:r>
                </w:p>
              </w:tc>
              <w:tc>
                <w:tcPr>
                  <w:tcW w:w="17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1间一般固废暂存库10m</w:t>
                  </w:r>
                  <w:r>
                    <w:rPr>
                      <w:rFonts w:hint="eastAsia"/>
                      <w:sz w:val="18"/>
                      <w:szCs w:val="18"/>
                      <w:vertAlign w:val="superscript"/>
                      <w:lang w:val="en-US" w:eastAsia="zh-CN"/>
                    </w:rPr>
                    <w:t>2</w:t>
                  </w:r>
                  <w:r>
                    <w:rPr>
                      <w:rFonts w:hint="eastAsia"/>
                      <w:sz w:val="18"/>
                      <w:szCs w:val="18"/>
                      <w:lang w:val="en-US" w:eastAsia="zh-CN"/>
                    </w:rPr>
                    <w:t>；一间危废仓库3.5m</w:t>
                  </w:r>
                  <w:r>
                    <w:rPr>
                      <w:rFonts w:hint="eastAsia"/>
                      <w:sz w:val="18"/>
                      <w:szCs w:val="18"/>
                      <w:vertAlign w:val="superscript"/>
                      <w:lang w:val="en-US" w:eastAsia="zh-CN"/>
                    </w:rPr>
                    <w:t>2</w:t>
                  </w:r>
                </w:p>
              </w:tc>
              <w:tc>
                <w:tcPr>
                  <w:tcW w:w="1290"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依托现有，位于附房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噪声</w:t>
                  </w:r>
                </w:p>
              </w:tc>
              <w:tc>
                <w:tcPr>
                  <w:tcW w:w="19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建筑墙体隔声、安装减振底座、距离衰减等</w:t>
                  </w:r>
                </w:p>
              </w:tc>
              <w:tc>
                <w:tcPr>
                  <w:tcW w:w="17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建筑墙体隔声、安装减振底座、距离衰减等</w:t>
                  </w:r>
                </w:p>
              </w:tc>
              <w:tc>
                <w:tcPr>
                  <w:tcW w:w="1290"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07" w:type="dxa"/>
                  <w:vMerge w:val="continue"/>
                  <w:tcBorders>
                    <w:tl2br w:val="nil"/>
                    <w:tr2bl w:val="nil"/>
                  </w:tcBorders>
                  <w:vAlign w:val="center"/>
                </w:tcPr>
                <w:p>
                  <w:pPr>
                    <w:bidi w:val="0"/>
                    <w:jc w:val="center"/>
                    <w:rPr>
                      <w:rFonts w:hint="eastAsia"/>
                      <w:sz w:val="18"/>
                      <w:szCs w:val="18"/>
                      <w:lang w:val="en-US" w:eastAsia="zh-CN"/>
                    </w:rPr>
                  </w:pPr>
                </w:p>
              </w:tc>
              <w:tc>
                <w:tcPr>
                  <w:tcW w:w="76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环境风险</w:t>
                  </w:r>
                </w:p>
              </w:tc>
              <w:tc>
                <w:tcPr>
                  <w:tcW w:w="1955"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初期雨水收集池110m</w:t>
                  </w:r>
                  <w:r>
                    <w:rPr>
                      <w:rFonts w:hint="eastAsia"/>
                      <w:sz w:val="18"/>
                      <w:szCs w:val="18"/>
                      <w:vertAlign w:val="superscript"/>
                      <w:lang w:val="en-US" w:eastAsia="zh-CN"/>
                    </w:rPr>
                    <w:t>3</w:t>
                  </w:r>
                  <w:r>
                    <w:rPr>
                      <w:rFonts w:hint="eastAsia"/>
                      <w:sz w:val="18"/>
                      <w:szCs w:val="18"/>
                      <w:lang w:val="en-US" w:eastAsia="zh-CN"/>
                    </w:rPr>
                    <w:t>、事故应急池250m</w:t>
                  </w:r>
                  <w:r>
                    <w:rPr>
                      <w:rFonts w:hint="eastAsia"/>
                      <w:sz w:val="18"/>
                      <w:szCs w:val="18"/>
                      <w:vertAlign w:val="superscript"/>
                      <w:lang w:val="en-US" w:eastAsia="zh-CN"/>
                    </w:rPr>
                    <w:t>3</w:t>
                  </w:r>
                </w:p>
              </w:tc>
              <w:tc>
                <w:tcPr>
                  <w:tcW w:w="17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初期雨水收集池110m</w:t>
                  </w:r>
                  <w:r>
                    <w:rPr>
                      <w:rFonts w:hint="eastAsia"/>
                      <w:sz w:val="18"/>
                      <w:szCs w:val="18"/>
                      <w:vertAlign w:val="superscript"/>
                      <w:lang w:val="en-US" w:eastAsia="zh-CN"/>
                    </w:rPr>
                    <w:t>3</w:t>
                  </w:r>
                  <w:r>
                    <w:rPr>
                      <w:rFonts w:hint="eastAsia"/>
                      <w:sz w:val="18"/>
                      <w:szCs w:val="18"/>
                      <w:lang w:val="en-US" w:eastAsia="zh-CN"/>
                    </w:rPr>
                    <w:t>、事故应急池250m</w:t>
                  </w:r>
                  <w:r>
                    <w:rPr>
                      <w:rFonts w:hint="eastAsia"/>
                      <w:sz w:val="18"/>
                      <w:szCs w:val="18"/>
                      <w:vertAlign w:val="superscript"/>
                      <w:lang w:val="en-US" w:eastAsia="zh-CN"/>
                    </w:rPr>
                    <w:t>3</w:t>
                  </w:r>
                </w:p>
              </w:tc>
              <w:tc>
                <w:tcPr>
                  <w:tcW w:w="1290"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不变</w:t>
                  </w:r>
                </w:p>
              </w:tc>
              <w:tc>
                <w:tcPr>
                  <w:tcW w:w="1828"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依托现有</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rFonts w:hint="default"/>
                <w:b/>
                <w:bCs/>
              </w:rPr>
            </w:pPr>
            <w:r>
              <w:rPr>
                <w:rFonts w:hint="default"/>
                <w:b/>
                <w:bCs/>
                <w:lang w:val="en-US" w:eastAsia="zh-CN"/>
              </w:rPr>
              <w:t>6</w:t>
            </w:r>
            <w:r>
              <w:rPr>
                <w:rFonts w:hint="default"/>
                <w:b/>
                <w:bCs/>
              </w:rPr>
              <w:t>、劳动制度及定员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lang w:val="en-US" w:eastAsia="zh-CN"/>
              </w:rPr>
            </w:pPr>
            <w:r>
              <w:rPr>
                <w:rFonts w:hint="eastAsia"/>
                <w:lang w:val="en-US" w:eastAsia="zh-CN"/>
              </w:rPr>
              <w:t>项目现有劳动定员90人，本次技改不新增人员，年工作300d，每天8小时，一班制。</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rFonts w:hint="default"/>
                <w:b/>
                <w:bCs/>
              </w:rPr>
            </w:pPr>
            <w:r>
              <w:rPr>
                <w:rFonts w:hint="default"/>
                <w:b/>
                <w:bCs/>
                <w:lang w:val="en-US" w:eastAsia="zh-CN"/>
              </w:rPr>
              <w:t>7</w:t>
            </w:r>
            <w:r>
              <w:rPr>
                <w:rFonts w:hint="default"/>
                <w:b/>
                <w:bCs/>
              </w:rPr>
              <w:t>、厂区平面布置</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lang w:eastAsia="zh-CN"/>
              </w:rPr>
            </w:pPr>
            <w:r>
              <w:rPr>
                <w:rFonts w:hint="eastAsia"/>
                <w:lang w:eastAsia="zh-CN"/>
              </w:rPr>
              <w:t>南通春秋时装有限公司占地面积14648.2m</w:t>
            </w:r>
            <w:r>
              <w:rPr>
                <w:rFonts w:hint="eastAsia"/>
                <w:vertAlign w:val="superscript"/>
                <w:lang w:eastAsia="zh-CN"/>
              </w:rPr>
              <w:t>2</w:t>
            </w:r>
            <w:r>
              <w:rPr>
                <w:rFonts w:hint="eastAsia"/>
                <w:lang w:eastAsia="zh-CN"/>
              </w:rPr>
              <w:t>，整个厂区呈四边形，由南北过道分为三列，西部由北往南依次为：门卫、原料仓库二、倒毛车间、厂房一、初期雨水池、事故池以及水洗车间一、附房一，中部由北往南依次为：门卫、办公楼、厂房二，东部为食堂、附房二。本项目水洗柔软、脱水、烘干工序位于水洗车间一内。水洗车间一：共一层，西部为脱水区、洗衣区，中部为烘干区、洗衣区。</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lang w:eastAsia="zh-CN"/>
              </w:rPr>
            </w:pPr>
            <w:r>
              <w:rPr>
                <w:rFonts w:hint="eastAsia"/>
                <w:lang w:eastAsia="zh-CN"/>
              </w:rPr>
              <w:t>平面布局合理性：水洗车间一整个生产线呈“π”型布设，在减少用地的同时，能够满足生产的流畅性，拉近各工序之间的距离，同时便于生产过程中工作人员对各生产工序进行管理。</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200"/>
              <w:textAlignment w:val="auto"/>
              <w:rPr>
                <w:rFonts w:hint="default"/>
                <w:b/>
                <w:bCs/>
                <w:lang w:val="en-US" w:eastAsia="zh-CN"/>
              </w:rPr>
            </w:pPr>
            <w:r>
              <w:rPr>
                <w:rFonts w:hint="default"/>
                <w:b/>
                <w:bCs/>
                <w:lang w:val="en-US" w:eastAsia="zh-CN"/>
              </w:rPr>
              <w:t>8</w:t>
            </w:r>
            <w:r>
              <w:rPr>
                <w:rFonts w:hint="default"/>
                <w:b/>
                <w:bCs/>
              </w:rPr>
              <w:t>、</w:t>
            </w:r>
            <w:r>
              <w:rPr>
                <w:rFonts w:hint="default"/>
                <w:b/>
                <w:bCs/>
                <w:lang w:val="en-US" w:eastAsia="zh-CN"/>
              </w:rPr>
              <w:t>周边环境概况</w:t>
            </w:r>
          </w:p>
          <w:p>
            <w:pPr>
              <w:adjustRightInd w:val="0"/>
              <w:snapToGrid w:val="0"/>
              <w:spacing w:line="500" w:lineRule="exact"/>
              <w:ind w:firstLine="420" w:firstLineChars="200"/>
              <w:rPr>
                <w:rFonts w:hint="eastAsia"/>
                <w:b/>
                <w:bCs/>
                <w:lang w:val="en-US" w:eastAsia="zh-CN"/>
              </w:rPr>
            </w:pPr>
            <w:r>
              <w:rPr>
                <w:rFonts w:hint="default"/>
              </w:rPr>
              <w:t>本项目位于启东市</w:t>
            </w:r>
            <w:r>
              <w:rPr>
                <w:rFonts w:hint="eastAsia"/>
                <w:lang w:eastAsia="zh-CN"/>
              </w:rPr>
              <w:t>经济开发区</w:t>
            </w:r>
            <w:r>
              <w:rPr>
                <w:rFonts w:hint="default"/>
              </w:rPr>
              <w:t>人民西路3333号南通春秋时装有限公司现有厂区内，项目东侧为南通赛克斯德机电制造有限公司；项目南侧为空地，过空地为启东景程机电配套有限公司；项目西侧为盖天力医药控股集团制药股份有限公司；项目北侧为人民西路，过路为小河。</w:t>
            </w:r>
            <w:r>
              <w:rPr>
                <w:rFonts w:hint="eastAsia"/>
                <w:lang w:eastAsia="zh-CN"/>
              </w:rPr>
              <w:t>建设项目地理位置见附图一、周边环境概况见附图二。</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jc w:val="both"/>
              <w:textAlignment w:val="auto"/>
            </w:pPr>
            <w:r>
              <w:rPr>
                <w:rFonts w:hint="eastAsia"/>
                <w:b/>
                <w:bCs/>
                <w:lang w:val="en-US" w:eastAsia="zh-CN"/>
              </w:rPr>
              <w:t>9</w:t>
            </w:r>
            <w:r>
              <w:rPr>
                <w:rFonts w:hint="default"/>
                <w:b/>
                <w:bCs/>
              </w:rPr>
              <w:t>、</w:t>
            </w:r>
            <w:r>
              <w:rPr>
                <w:rFonts w:hint="eastAsia"/>
                <w:b/>
                <w:bCs/>
                <w:lang w:eastAsia="zh-CN"/>
              </w:rPr>
              <w:t>物料平衡</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center"/>
              <w:textAlignment w:val="auto"/>
              <w:rPr>
                <w:rFonts w:hint="default"/>
                <w:b/>
                <w:bCs/>
                <w:lang w:val="en-US" w:eastAsia="zh-CN"/>
              </w:rPr>
            </w:pPr>
            <w:r>
              <w:rPr>
                <w:rFonts w:hint="eastAsia"/>
                <w:b/>
                <w:bCs/>
                <w:lang w:val="en-US" w:eastAsia="zh-CN"/>
              </w:rPr>
              <w:t>表2-6 生产过程物料平衡表</w:t>
            </w:r>
          </w:p>
          <w:tbl>
            <w:tblPr>
              <w:tblStyle w:val="12"/>
              <w:tblW w:w="830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84"/>
              <w:gridCol w:w="1087"/>
              <w:gridCol w:w="297"/>
              <w:gridCol w:w="1384"/>
              <w:gridCol w:w="974"/>
              <w:gridCol w:w="17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入方</w:t>
                  </w:r>
                </w:p>
              </w:tc>
              <w:tc>
                <w:tcPr>
                  <w:tcW w:w="553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出方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物料名称</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数量</w:t>
                  </w:r>
                </w:p>
              </w:tc>
              <w:tc>
                <w:tcPr>
                  <w:tcW w:w="276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名称</w:t>
                  </w:r>
                </w:p>
              </w:tc>
              <w:tc>
                <w:tcPr>
                  <w:tcW w:w="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数量</w:t>
                  </w: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羊毛线</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rPr>
                    <w:t>10</w:t>
                  </w:r>
                </w:p>
              </w:tc>
              <w:tc>
                <w:tcPr>
                  <w:tcW w:w="10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产品</w:t>
                  </w:r>
                </w:p>
              </w:tc>
              <w:tc>
                <w:tcPr>
                  <w:tcW w:w="168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服装</w:t>
                  </w:r>
                </w:p>
              </w:tc>
              <w:tc>
                <w:tcPr>
                  <w:tcW w:w="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52</w:t>
                  </w: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棉毛线</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rPr>
                    <w:t>45</w:t>
                  </w:r>
                </w:p>
              </w:tc>
              <w:tc>
                <w:tcPr>
                  <w:tcW w:w="108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废水</w:t>
                  </w:r>
                </w:p>
              </w:tc>
              <w:tc>
                <w:tcPr>
                  <w:tcW w:w="168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水洗、柔软废水</w:t>
                  </w:r>
                </w:p>
              </w:tc>
              <w:tc>
                <w:tcPr>
                  <w:tcW w:w="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1546</w:t>
                  </w:r>
                </w:p>
              </w:tc>
              <w:tc>
                <w:tcPr>
                  <w:tcW w:w="179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进入厂区污水处理设施处理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洗涤剂</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kern w:val="2"/>
                      <w:sz w:val="18"/>
                      <w:szCs w:val="18"/>
                      <w:lang w:val="en-US" w:eastAsia="zh-CN" w:bidi="ar-SA"/>
                    </w:rPr>
                  </w:pPr>
                  <w:r>
                    <w:rPr>
                      <w:rFonts w:hint="eastAsia"/>
                      <w:b w:val="0"/>
                      <w:bCs w:val="0"/>
                      <w:sz w:val="18"/>
                      <w:szCs w:val="18"/>
                    </w:rPr>
                    <w:t>1</w:t>
                  </w:r>
                </w:p>
              </w:tc>
              <w:tc>
                <w:tcPr>
                  <w:tcW w:w="10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p>
              </w:tc>
              <w:tc>
                <w:tcPr>
                  <w:tcW w:w="168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脱水废水</w:t>
                  </w:r>
                </w:p>
              </w:tc>
              <w:tc>
                <w:tcPr>
                  <w:tcW w:w="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55</w:t>
                  </w:r>
                </w:p>
              </w:tc>
              <w:tc>
                <w:tcPr>
                  <w:tcW w:w="17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柔软平滑剂</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rPr>
                    <w:t>5</w:t>
                  </w:r>
                </w:p>
              </w:tc>
              <w:tc>
                <w:tcPr>
                  <w:tcW w:w="276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水损耗</w:t>
                  </w:r>
                </w:p>
              </w:tc>
              <w:tc>
                <w:tcPr>
                  <w:tcW w:w="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5.5</w:t>
                  </w: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生产损耗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自来水</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1650</w:t>
                  </w:r>
                </w:p>
              </w:tc>
              <w:tc>
                <w:tcPr>
                  <w:tcW w:w="276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蒸汽损耗</w:t>
                  </w:r>
                </w:p>
              </w:tc>
              <w:tc>
                <w:tcPr>
                  <w:tcW w:w="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425</w:t>
                  </w: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生产损耗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蒸汽</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900</w:t>
                  </w:r>
                </w:p>
              </w:tc>
              <w:tc>
                <w:tcPr>
                  <w:tcW w:w="276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冷凝水</w:t>
                  </w:r>
                </w:p>
              </w:tc>
              <w:tc>
                <w:tcPr>
                  <w:tcW w:w="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kern w:val="2"/>
                      <w:sz w:val="18"/>
                      <w:szCs w:val="18"/>
                      <w:vertAlign w:val="baseline"/>
                      <w:lang w:val="en-US" w:eastAsia="zh-CN" w:bidi="ar-SA"/>
                    </w:rPr>
                  </w:pPr>
                  <w:r>
                    <w:rPr>
                      <w:rFonts w:hint="eastAsia"/>
                      <w:b w:val="0"/>
                      <w:bCs w:val="0"/>
                      <w:sz w:val="18"/>
                      <w:szCs w:val="18"/>
                      <w:vertAlign w:val="baseline"/>
                      <w:lang w:val="en-US" w:eastAsia="zh-CN"/>
                    </w:rPr>
                    <w:t>524.5</w:t>
                  </w: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回用于水洗工序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w:t>
                  </w:r>
                </w:p>
              </w:tc>
              <w:tc>
                <w:tcPr>
                  <w:tcW w:w="138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固废</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不合格品</w:t>
                  </w:r>
                </w:p>
              </w:tc>
              <w:tc>
                <w:tcPr>
                  <w:tcW w:w="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收集外售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合计</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2216</w:t>
                  </w:r>
                </w:p>
              </w:tc>
              <w:tc>
                <w:tcPr>
                  <w:tcW w:w="276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合计</w:t>
                  </w:r>
                </w:p>
              </w:tc>
              <w:tc>
                <w:tcPr>
                  <w:tcW w:w="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2216</w:t>
                  </w: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6"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备注：化纤服装水洗外协，不在厂区内进行清洗</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r>
              <w:drawing>
                <wp:anchor distT="0" distB="0" distL="114300" distR="114300" simplePos="0" relativeHeight="251660288" behindDoc="0" locked="0" layoutInCell="1" allowOverlap="1">
                  <wp:simplePos x="0" y="0"/>
                  <wp:positionH relativeFrom="column">
                    <wp:posOffset>1114425</wp:posOffset>
                  </wp:positionH>
                  <wp:positionV relativeFrom="paragraph">
                    <wp:posOffset>79375</wp:posOffset>
                  </wp:positionV>
                  <wp:extent cx="3211195" cy="4572635"/>
                  <wp:effectExtent l="0" t="0" r="8255" b="18415"/>
                  <wp:wrapNone/>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7"/>
                          <a:stretch>
                            <a:fillRect/>
                          </a:stretch>
                        </pic:blipFill>
                        <pic:spPr>
                          <a:xfrm>
                            <a:off x="0" y="0"/>
                            <a:ext cx="3211195" cy="45726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rFonts w:hint="eastAsia"/>
                <w:b/>
                <w:bCs/>
                <w:lang w:val="en-US" w:eastAsia="zh-CN"/>
              </w:rPr>
            </w:pPr>
          </w:p>
          <w:p>
            <w:pPr>
              <w:rPr>
                <w:rFonts w:hint="eastAsia"/>
                <w:lang w:eastAsia="zh-CN"/>
              </w:rPr>
            </w:pPr>
          </w:p>
          <w:p>
            <w:pPr>
              <w:jc w:val="center"/>
              <w:rPr>
                <w:rFonts w:hint="eastAsia"/>
                <w:b/>
                <w:bCs/>
                <w:lang w:eastAsia="zh-CN"/>
              </w:rPr>
            </w:pPr>
          </w:p>
          <w:p>
            <w:pPr>
              <w:jc w:val="center"/>
              <w:rPr>
                <w:rFonts w:hint="eastAsia"/>
                <w:b/>
                <w:bCs/>
                <w:lang w:eastAsia="zh-CN"/>
              </w:rPr>
            </w:pPr>
          </w:p>
          <w:p>
            <w:pPr>
              <w:jc w:val="center"/>
            </w:pPr>
            <w:r>
              <w:rPr>
                <w:rFonts w:hint="eastAsia"/>
                <w:b/>
                <w:bCs/>
                <w:lang w:eastAsia="zh-CN"/>
              </w:rPr>
              <w:t>图</w:t>
            </w:r>
            <w:r>
              <w:rPr>
                <w:rFonts w:hint="eastAsia"/>
                <w:b/>
                <w:bCs/>
                <w:lang w:val="en-US" w:eastAsia="zh-CN"/>
              </w:rPr>
              <w:t>2-1技改项目物料平衡图</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jc w:val="both"/>
              <w:textAlignment w:val="auto"/>
              <w:rPr>
                <w:rFonts w:hint="default"/>
                <w:b/>
                <w:bCs/>
              </w:rPr>
            </w:pPr>
            <w:r>
              <w:rPr>
                <w:rFonts w:hint="eastAsia"/>
                <w:b/>
                <w:bCs/>
                <w:lang w:val="en-US" w:eastAsia="zh-CN"/>
              </w:rPr>
              <w:t>10、</w:t>
            </w:r>
            <w:r>
              <w:rPr>
                <w:rFonts w:hint="default"/>
                <w:b/>
                <w:bCs/>
              </w:rPr>
              <w:t>水平衡分析</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项目不新增劳动定员，不增加生活用水，技改项目主要用水量主要为蒸汽冷凝水、水洗废水、柔软废水、脱水废水。</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firstLine="420" w:firstLineChars="20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水洗</w:t>
            </w:r>
            <w:r>
              <w:rPr>
                <w:rFonts w:hint="eastAsia" w:ascii="Times New Roman" w:hAnsi="Times New Roman" w:cs="Times New Roman"/>
                <w:kern w:val="2"/>
                <w:sz w:val="21"/>
                <w:szCs w:val="24"/>
                <w:lang w:val="en-US" w:eastAsia="zh-CN" w:bidi="ar-SA"/>
              </w:rPr>
              <w:t>废</w:t>
            </w:r>
            <w:r>
              <w:rPr>
                <w:rFonts w:hint="eastAsia" w:ascii="Times New Roman" w:hAnsi="Times New Roman" w:eastAsia="宋体" w:cs="Times New Roman"/>
                <w:kern w:val="2"/>
                <w:sz w:val="21"/>
                <w:szCs w:val="24"/>
                <w:lang w:val="en-US" w:eastAsia="zh-CN" w:bidi="ar-SA"/>
              </w:rPr>
              <w:t>水、柔软</w:t>
            </w:r>
            <w:r>
              <w:rPr>
                <w:rFonts w:hint="eastAsia" w:ascii="Times New Roman" w:hAnsi="Times New Roman" w:cs="Times New Roman"/>
                <w:kern w:val="2"/>
                <w:sz w:val="21"/>
                <w:szCs w:val="24"/>
                <w:lang w:val="en-US" w:eastAsia="zh-CN" w:bidi="ar-SA"/>
              </w:rPr>
              <w:t>废</w:t>
            </w:r>
            <w:r>
              <w:rPr>
                <w:rFonts w:hint="eastAsia" w:ascii="Times New Roman" w:hAnsi="Times New Roman" w:eastAsia="宋体" w:cs="Times New Roman"/>
                <w:kern w:val="2"/>
                <w:sz w:val="21"/>
                <w:szCs w:val="24"/>
                <w:lang w:val="en-US" w:eastAsia="zh-CN" w:bidi="ar-SA"/>
              </w:rPr>
              <w:t>水、脱水废水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项目水洗过程添加洗涤剂，清洗的原辅料用量为55t（化纤服装外协），其中，洗涤剂、柔软平滑剂用量为6t，清洗三次，水洗浴比为1:10，则单位产品实际用水量为（30t/t原料），则用水量为1</w:t>
            </w:r>
            <w:r>
              <w:rPr>
                <w:rFonts w:hint="eastAsia" w:ascii="Times New Roman" w:hAnsi="Times New Roman" w:cs="Times New Roman"/>
                <w:kern w:val="2"/>
                <w:sz w:val="21"/>
                <w:szCs w:val="24"/>
                <w:lang w:val="en-US" w:eastAsia="zh-CN" w:bidi="ar-SA"/>
              </w:rPr>
              <w:t>65</w:t>
            </w:r>
            <w:r>
              <w:rPr>
                <w:rFonts w:hint="eastAsia" w:ascii="Times New Roman" w:hAnsi="Times New Roman" w:eastAsia="宋体" w:cs="Times New Roman"/>
                <w:kern w:val="2"/>
                <w:sz w:val="21"/>
                <w:szCs w:val="24"/>
                <w:lang w:val="en-US" w:eastAsia="zh-CN" w:bidi="ar-SA"/>
              </w:rPr>
              <w:t>0t/a，通过废水处理设施处理后，接管至启东城市污水处理厂处理，清洗后项目衣物含湿量约为2倍衣物重，为110t，则清洗废水为</w:t>
            </w:r>
            <w:r>
              <w:rPr>
                <w:rFonts w:hint="eastAsia" w:ascii="Times New Roman" w:hAnsi="Times New Roman" w:cs="Times New Roman"/>
                <w:kern w:val="2"/>
                <w:sz w:val="21"/>
                <w:szCs w:val="24"/>
                <w:lang w:val="en-US" w:eastAsia="zh-CN" w:bidi="ar-SA"/>
              </w:rPr>
              <w:t>1546</w:t>
            </w:r>
            <w:r>
              <w:rPr>
                <w:rFonts w:hint="eastAsia" w:ascii="Times New Roman" w:hAnsi="Times New Roman" w:eastAsia="宋体" w:cs="Times New Roman"/>
                <w:kern w:val="2"/>
                <w:sz w:val="21"/>
                <w:szCs w:val="24"/>
                <w:lang w:val="en-US" w:eastAsia="zh-CN" w:bidi="ar-SA"/>
              </w:rPr>
              <w:t>t/a。</w:t>
            </w:r>
          </w:p>
          <w:p>
            <w:pPr>
              <w:spacing w:line="500" w:lineRule="exact"/>
              <w:ind w:firstLine="420" w:firstLineChars="200"/>
            </w:pPr>
            <w:r>
              <w:rPr>
                <w:rFonts w:hint="eastAsia"/>
              </w:rPr>
              <w:t>项目经</w:t>
            </w:r>
            <w:r>
              <w:rPr>
                <w:rFonts w:hint="eastAsia"/>
                <w:lang w:eastAsia="zh-CN"/>
              </w:rPr>
              <w:t>脱水机三次</w:t>
            </w:r>
            <w:r>
              <w:rPr>
                <w:rFonts w:hint="eastAsia"/>
              </w:rPr>
              <w:t>脱水离心后，</w:t>
            </w:r>
            <w:r>
              <w:rPr>
                <w:rFonts w:hint="eastAsia"/>
                <w:highlight w:val="none"/>
              </w:rPr>
              <w:t>衣物脱水后含湿量约50%，则脱水后衣物总重为</w:t>
            </w:r>
            <w:r>
              <w:rPr>
                <w:rFonts w:hint="eastAsia"/>
                <w:highlight w:val="none"/>
                <w:lang w:val="en-US" w:eastAsia="zh-CN"/>
              </w:rPr>
              <w:t>55</w:t>
            </w:r>
            <w:r>
              <w:rPr>
                <w:rFonts w:hint="eastAsia"/>
                <w:highlight w:val="none"/>
              </w:rPr>
              <w:t>t，</w:t>
            </w:r>
            <w:r>
              <w:rPr>
                <w:rFonts w:hint="eastAsia"/>
              </w:rPr>
              <w:t>脱水废水为</w:t>
            </w:r>
            <w:r>
              <w:rPr>
                <w:rFonts w:hint="eastAsia"/>
                <w:lang w:val="en-US" w:eastAsia="zh-CN"/>
              </w:rPr>
              <w:t>55</w:t>
            </w:r>
            <w:r>
              <w:rPr>
                <w:rFonts w:hint="eastAsia"/>
              </w:rPr>
              <w:t>t。</w:t>
            </w:r>
          </w:p>
          <w:p>
            <w:pPr>
              <w:adjustRightInd w:val="0"/>
              <w:snapToGrid w:val="0"/>
              <w:spacing w:line="500" w:lineRule="exact"/>
              <w:ind w:firstLine="420" w:firstLineChars="200"/>
              <w:rPr>
                <w:rFonts w:hint="eastAsia"/>
                <w:bCs/>
                <w:szCs w:val="21"/>
              </w:rPr>
            </w:pPr>
            <w:r>
              <w:rPr>
                <w:rFonts w:hint="eastAsia"/>
                <w:bCs/>
                <w:szCs w:val="21"/>
              </w:rPr>
              <w:t>（3）蒸汽冷凝水：衣物脱水后含湿量约50%，则衣物烘干后将产生水蒸气，该部分水蒸气经冷凝后回收再利用，</w:t>
            </w:r>
            <w:r>
              <w:rPr>
                <w:rFonts w:hint="eastAsia"/>
                <w:bCs/>
                <w:szCs w:val="21"/>
                <w:lang w:eastAsia="zh-CN"/>
              </w:rPr>
              <w:t>回收过程水蒸气</w:t>
            </w:r>
            <w:r>
              <w:rPr>
                <w:rFonts w:hint="eastAsia"/>
                <w:bCs/>
                <w:szCs w:val="21"/>
              </w:rPr>
              <w:t>损耗10%，则回收的冷凝水量为</w:t>
            </w:r>
            <w:r>
              <w:rPr>
                <w:rFonts w:hint="eastAsia"/>
                <w:bCs/>
                <w:szCs w:val="21"/>
                <w:lang w:val="en-US" w:eastAsia="zh-CN"/>
              </w:rPr>
              <w:t>49.5</w:t>
            </w:r>
            <w:r>
              <w:rPr>
                <w:rFonts w:hint="eastAsia"/>
                <w:bCs/>
                <w:szCs w:val="21"/>
              </w:rPr>
              <w:t>t/a。</w:t>
            </w:r>
          </w:p>
          <w:p>
            <w:pPr>
              <w:adjustRightInd w:val="0"/>
              <w:snapToGrid w:val="0"/>
              <w:spacing w:line="500" w:lineRule="exact"/>
              <w:ind w:firstLine="420" w:firstLineChars="200"/>
              <w:rPr>
                <w:rFonts w:hint="eastAsia"/>
                <w:bCs/>
                <w:szCs w:val="21"/>
              </w:rPr>
            </w:pPr>
            <w:r>
              <w:rPr>
                <w:rFonts w:hint="eastAsia"/>
                <w:bCs/>
                <w:szCs w:val="21"/>
              </w:rPr>
              <w:t>其中项目烘干</w:t>
            </w:r>
            <w:r>
              <w:rPr>
                <w:rFonts w:hint="eastAsia"/>
                <w:bCs/>
                <w:szCs w:val="21"/>
                <w:lang w:eastAsia="zh-CN"/>
              </w:rPr>
              <w:t>、整烫</w:t>
            </w:r>
            <w:r>
              <w:rPr>
                <w:rFonts w:hint="eastAsia"/>
                <w:bCs/>
                <w:szCs w:val="21"/>
              </w:rPr>
              <w:t>使用蒸汽</w:t>
            </w:r>
            <w:r>
              <w:rPr>
                <w:rFonts w:hint="eastAsia"/>
                <w:bCs/>
                <w:szCs w:val="21"/>
                <w:lang w:eastAsia="zh-CN"/>
              </w:rPr>
              <w:t>，蒸汽为国信启东热电有限公司通过管道供应，压力为</w:t>
            </w:r>
            <w:r>
              <w:rPr>
                <w:rFonts w:hint="eastAsia"/>
                <w:bCs/>
                <w:szCs w:val="21"/>
                <w:lang w:val="en-US" w:eastAsia="zh-CN"/>
              </w:rPr>
              <w:t>0.1MPa，温度为99.6℃</w:t>
            </w:r>
            <w:r>
              <w:rPr>
                <w:rFonts w:hint="eastAsia"/>
                <w:bCs/>
                <w:szCs w:val="21"/>
              </w:rPr>
              <w:t>，烘干工序使用的蒸汽量为</w:t>
            </w:r>
            <w:r>
              <w:rPr>
                <w:rFonts w:hint="eastAsia"/>
                <w:bCs/>
                <w:szCs w:val="21"/>
                <w:lang w:val="en-US" w:eastAsia="zh-CN"/>
              </w:rPr>
              <w:t>5</w:t>
            </w:r>
            <w:r>
              <w:rPr>
                <w:rFonts w:hint="eastAsia"/>
                <w:bCs/>
                <w:szCs w:val="21"/>
              </w:rPr>
              <w:t>00t/a，整烫工序使用蒸汽量为400t/a，考虑到管道损耗等原因造成的蒸汽损耗，损耗量按</w:t>
            </w:r>
            <w:r>
              <w:rPr>
                <w:rFonts w:hint="eastAsia"/>
                <w:bCs/>
                <w:szCs w:val="21"/>
                <w:lang w:val="en-US" w:eastAsia="zh-CN"/>
              </w:rPr>
              <w:t>5</w:t>
            </w:r>
            <w:r>
              <w:rPr>
                <w:rFonts w:hint="eastAsia"/>
                <w:bCs/>
                <w:szCs w:val="21"/>
              </w:rPr>
              <w:t>%计算，则烘干工序产生的蒸汽冷凝水为</w:t>
            </w:r>
            <w:r>
              <w:rPr>
                <w:rFonts w:hint="eastAsia"/>
                <w:bCs/>
                <w:szCs w:val="21"/>
                <w:lang w:val="en-US" w:eastAsia="zh-CN"/>
              </w:rPr>
              <w:t>475</w:t>
            </w:r>
            <w:r>
              <w:rPr>
                <w:rFonts w:hint="eastAsia"/>
                <w:bCs/>
                <w:szCs w:val="21"/>
              </w:rPr>
              <w:t>t/a。整烫工序蒸汽直接蒸发损耗。</w:t>
            </w:r>
          </w:p>
          <w:p>
            <w:pPr>
              <w:jc w:val="center"/>
            </w:pPr>
            <w:r>
              <w:drawing>
                <wp:inline distT="0" distB="0" distL="114300" distR="114300">
                  <wp:extent cx="5273040" cy="2287905"/>
                  <wp:effectExtent l="0" t="0" r="381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3040" cy="2287905"/>
                          </a:xfrm>
                          <a:prstGeom prst="rect">
                            <a:avLst/>
                          </a:prstGeom>
                          <a:noFill/>
                          <a:ln>
                            <a:noFill/>
                          </a:ln>
                        </pic:spPr>
                      </pic:pic>
                    </a:graphicData>
                  </a:graphic>
                </wp:inline>
              </w:drawing>
            </w:r>
          </w:p>
          <w:p>
            <w:pPr>
              <w:jc w:val="center"/>
            </w:pPr>
            <w:r>
              <w:rPr>
                <w:rFonts w:hint="eastAsia"/>
                <w:b/>
                <w:bCs/>
                <w:lang w:eastAsia="zh-CN"/>
              </w:rPr>
              <w:t>图</w:t>
            </w:r>
            <w:r>
              <w:rPr>
                <w:rFonts w:hint="eastAsia"/>
                <w:b/>
                <w:bCs/>
                <w:lang w:val="en-US" w:eastAsia="zh-CN"/>
              </w:rPr>
              <w:t>2-2技改项目水平衡图</w:t>
            </w:r>
          </w:p>
          <w:p>
            <w:pPr>
              <w:jc w:val="center"/>
            </w:pPr>
            <w:r>
              <w:drawing>
                <wp:inline distT="0" distB="0" distL="114300" distR="114300">
                  <wp:extent cx="4834255" cy="3512820"/>
                  <wp:effectExtent l="0" t="0" r="4445"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834255" cy="3512820"/>
                          </a:xfrm>
                          <a:prstGeom prst="rect">
                            <a:avLst/>
                          </a:prstGeom>
                          <a:noFill/>
                          <a:ln>
                            <a:noFill/>
                          </a:ln>
                        </pic:spPr>
                      </pic:pic>
                    </a:graphicData>
                  </a:graphic>
                </wp:inline>
              </w:drawing>
            </w:r>
          </w:p>
          <w:p>
            <w:pPr>
              <w:jc w:val="center"/>
              <w:rPr>
                <w:rFonts w:hint="default"/>
                <w:b/>
                <w:bCs/>
                <w:lang w:val="en-US" w:eastAsia="zh-CN"/>
              </w:rPr>
            </w:pPr>
            <w:r>
              <w:rPr>
                <w:rFonts w:hint="eastAsia"/>
                <w:b/>
                <w:bCs/>
                <w:lang w:eastAsia="zh-CN"/>
              </w:rPr>
              <w:t>图</w:t>
            </w:r>
            <w:r>
              <w:rPr>
                <w:rFonts w:hint="eastAsia"/>
                <w:b/>
                <w:bCs/>
                <w:lang w:val="en-US" w:eastAsia="zh-CN"/>
              </w:rPr>
              <w:t>2-3 技改后全厂项目水平衡图  单位：t/a</w:t>
            </w:r>
          </w:p>
          <w:p>
            <w:pPr>
              <w:jc w:val="center"/>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default" w:eastAsia="宋体"/>
                <w:lang w:val="en-US" w:eastAsia="zh-CN"/>
              </w:rPr>
            </w:pPr>
            <w:r>
              <w:rPr>
                <w:rFonts w:hint="default" w:eastAsia="宋体"/>
                <w:lang w:val="en-US" w:eastAsia="zh-CN"/>
              </w:rPr>
              <w:t>单位产品基准排水量计算：</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default" w:eastAsia="宋体"/>
                <w:lang w:val="en-US" w:eastAsia="zh-CN"/>
              </w:rPr>
            </w:pPr>
            <w:r>
              <w:rPr>
                <w:rFonts w:hint="default" w:eastAsia="宋体"/>
                <w:lang w:val="en-US" w:eastAsia="zh-CN"/>
              </w:rPr>
              <w:t>根据《纺织染整工业水污染物排放标准》（GB 4287-2012），新建企业“纱线、针织物”单位产品基准排水量≤85m</w:t>
            </w:r>
            <w:r>
              <w:rPr>
                <w:rFonts w:hint="default" w:eastAsia="宋体"/>
                <w:vertAlign w:val="superscript"/>
                <w:lang w:val="en-US" w:eastAsia="zh-CN"/>
              </w:rPr>
              <w:t>3</w:t>
            </w:r>
            <w:r>
              <w:rPr>
                <w:rFonts w:hint="default" w:eastAsia="宋体"/>
                <w:lang w:val="en-US" w:eastAsia="zh-CN"/>
              </w:rPr>
              <w:t>/t标准品。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default" w:eastAsia="宋体"/>
                <w:lang w:val="en-US" w:eastAsia="zh-CN"/>
              </w:rPr>
            </w:pPr>
            <w:r>
              <w:rPr>
                <w:rFonts w:hint="default" w:eastAsia="宋体"/>
                <w:lang w:val="en-US" w:eastAsia="zh-CN"/>
              </w:rPr>
              <w:t>项目原辅料约</w:t>
            </w:r>
            <w:r>
              <w:rPr>
                <w:rFonts w:hint="eastAsia"/>
                <w:lang w:val="en-US" w:eastAsia="zh-CN"/>
              </w:rPr>
              <w:t>66</w:t>
            </w:r>
            <w:r>
              <w:rPr>
                <w:rFonts w:hint="default" w:eastAsia="宋体"/>
                <w:lang w:val="en-US" w:eastAsia="zh-CN"/>
              </w:rPr>
              <w:t>t/a，则项目单位产品排水量=</w:t>
            </w:r>
            <w:r>
              <w:rPr>
                <w:rFonts w:hint="eastAsia"/>
                <w:lang w:val="en-US" w:eastAsia="zh-CN"/>
              </w:rPr>
              <w:t>4353</w:t>
            </w:r>
            <w:r>
              <w:rPr>
                <w:rFonts w:hint="default" w:eastAsia="宋体"/>
                <w:lang w:val="en-US" w:eastAsia="zh-CN"/>
              </w:rPr>
              <w:t>/</w:t>
            </w:r>
            <w:r>
              <w:rPr>
                <w:rFonts w:hint="eastAsia"/>
                <w:lang w:val="en-US" w:eastAsia="zh-CN"/>
              </w:rPr>
              <w:t>66</w:t>
            </w:r>
            <w:r>
              <w:rPr>
                <w:rFonts w:hint="default" w:eastAsia="宋体"/>
                <w:lang w:val="en-US" w:eastAsia="zh-CN"/>
              </w:rPr>
              <w:t>=</w:t>
            </w:r>
            <w:r>
              <w:rPr>
                <w:rFonts w:hint="eastAsia"/>
                <w:lang w:val="en-US" w:eastAsia="zh-CN"/>
              </w:rPr>
              <w:t>65.95</w:t>
            </w:r>
            <w:r>
              <w:rPr>
                <w:rFonts w:hint="default" w:eastAsia="宋体"/>
                <w:lang w:val="en-US" w:eastAsia="zh-CN"/>
              </w:rPr>
              <w:t>m</w:t>
            </w:r>
            <w:r>
              <w:rPr>
                <w:rFonts w:hint="default" w:eastAsia="宋体"/>
                <w:vertAlign w:val="superscript"/>
                <w:lang w:val="en-US" w:eastAsia="zh-CN"/>
              </w:rPr>
              <w:t>3</w:t>
            </w:r>
            <w:r>
              <w:rPr>
                <w:rFonts w:hint="default" w:eastAsia="宋体"/>
                <w:lang w:val="en-US" w:eastAsia="zh-CN"/>
              </w:rPr>
              <w:t>/t标准品。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default" w:eastAsia="宋体"/>
                <w:lang w:val="en-US" w:eastAsia="zh-CN"/>
              </w:rPr>
            </w:pPr>
            <w:r>
              <w:rPr>
                <w:rFonts w:hint="default" w:eastAsia="宋体"/>
                <w:lang w:val="en-US" w:eastAsia="zh-CN"/>
              </w:rPr>
              <w:t>经计算，项目单位产品排水量低于《纺织染整工业水污染物排放标准》（GB 4287-2012）：“新建企业“纱线、针织物”单位产品基准排水量≤85m</w:t>
            </w:r>
            <w:r>
              <w:rPr>
                <w:rFonts w:hint="default" w:eastAsia="宋体"/>
                <w:vertAlign w:val="superscript"/>
                <w:lang w:val="en-US" w:eastAsia="zh-CN"/>
              </w:rPr>
              <w:t>3</w:t>
            </w:r>
            <w:r>
              <w:rPr>
                <w:rFonts w:hint="default" w:eastAsia="宋体"/>
                <w:lang w:val="en-US" w:eastAsia="zh-CN"/>
              </w:rPr>
              <w:t>/t标准品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36" w:type="dxa"/>
          <w:trHeight w:val="9735" w:hRule="atLeast"/>
        </w:trPr>
        <w:tc>
          <w:tcPr>
            <w:tcW w:w="65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rPr>
            </w:pPr>
            <w:r>
              <w:rPr>
                <w:rFonts w:hint="default"/>
              </w:rPr>
              <w:t>工</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rPr>
            </w:pPr>
            <w:r>
              <w:rPr>
                <w:rFonts w:hint="default"/>
              </w:rPr>
              <w:t>艺</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rPr>
            </w:pPr>
            <w:r>
              <w:rPr>
                <w:rFonts w:hint="default"/>
              </w:rPr>
              <w:t>流</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rPr>
            </w:pPr>
            <w:r>
              <w:rPr>
                <w:rFonts w:hint="default"/>
              </w:rPr>
              <w:t>程</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rPr>
            </w:pPr>
            <w:r>
              <w:rPr>
                <w:rFonts w:hint="default"/>
              </w:rPr>
              <w:t>和</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rPr>
            </w:pPr>
            <w:r>
              <w:rPr>
                <w:rFonts w:hint="default"/>
              </w:rPr>
              <w:t>产</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rPr>
            </w:pPr>
            <w:r>
              <w:rPr>
                <w:rFonts w:hint="default"/>
              </w:rPr>
              <w:t>排</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rPr>
            </w:pPr>
            <w:r>
              <w:rPr>
                <w:rFonts w:hint="default"/>
              </w:rPr>
              <w:t>污</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rPr>
            </w:pPr>
            <w:r>
              <w:rPr>
                <w:rFonts w:hint="default"/>
              </w:rPr>
              <w:t>环</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Times New Roman" w:hAnsi="Times New Roman" w:eastAsia="宋体" w:cs="Times New Roman"/>
                <w:color w:val="auto"/>
                <w:spacing w:val="-12"/>
                <w:sz w:val="21"/>
                <w:szCs w:val="21"/>
              </w:rPr>
            </w:pPr>
            <w:r>
              <w:rPr>
                <w:rFonts w:hint="default"/>
              </w:rPr>
              <w:t>节</w:t>
            </w:r>
          </w:p>
          <w:p>
            <w:pPr>
              <w:pStyle w:val="2"/>
              <w:rPr>
                <w:rFonts w:hint="default" w:ascii="Times New Roman" w:hAnsi="Times New Roman" w:eastAsia="宋体" w:cs="Times New Roman"/>
                <w:color w:val="auto"/>
                <w:spacing w:val="-12"/>
                <w:sz w:val="21"/>
                <w:szCs w:val="21"/>
              </w:rPr>
            </w:pPr>
          </w:p>
          <w:p>
            <w:pPr>
              <w:pStyle w:val="2"/>
              <w:rPr>
                <w:rFonts w:hint="default" w:ascii="Times New Roman" w:hAnsi="Times New Roman" w:eastAsia="宋体" w:cs="Times New Roman"/>
                <w:color w:val="auto"/>
                <w:spacing w:val="-12"/>
                <w:sz w:val="21"/>
                <w:szCs w:val="21"/>
              </w:rPr>
            </w:pPr>
          </w:p>
          <w:p>
            <w:pPr>
              <w:pStyle w:val="2"/>
              <w:rPr>
                <w:rFonts w:hint="default" w:ascii="Times New Roman" w:hAnsi="Times New Roman" w:eastAsia="宋体" w:cs="Times New Roman"/>
                <w:color w:val="auto"/>
                <w:spacing w:val="-12"/>
                <w:sz w:val="21"/>
                <w:szCs w:val="21"/>
              </w:rPr>
            </w:pPr>
          </w:p>
          <w:p>
            <w:pPr>
              <w:pStyle w:val="2"/>
              <w:rPr>
                <w:rFonts w:hint="default" w:ascii="Times New Roman" w:hAnsi="Times New Roman" w:eastAsia="宋体" w:cs="Times New Roman"/>
                <w:color w:val="auto"/>
                <w:spacing w:val="-12"/>
                <w:sz w:val="21"/>
                <w:szCs w:val="21"/>
              </w:rPr>
            </w:pPr>
          </w:p>
          <w:p>
            <w:pPr>
              <w:pStyle w:val="2"/>
              <w:rPr>
                <w:rFonts w:hint="default" w:ascii="Times New Roman" w:hAnsi="Times New Roman" w:eastAsia="宋体" w:cs="Times New Roman"/>
                <w:color w:val="auto"/>
                <w:spacing w:val="-12"/>
                <w:sz w:val="21"/>
                <w:szCs w:val="21"/>
              </w:rPr>
            </w:pPr>
          </w:p>
          <w:p>
            <w:pPr>
              <w:pStyle w:val="2"/>
              <w:rPr>
                <w:rFonts w:hint="default" w:ascii="Times New Roman" w:hAnsi="Times New Roman" w:eastAsia="宋体" w:cs="Times New Roman"/>
                <w:color w:val="auto"/>
                <w:spacing w:val="-12"/>
                <w:sz w:val="21"/>
                <w:szCs w:val="21"/>
              </w:rPr>
            </w:pPr>
          </w:p>
          <w:p>
            <w:pPr>
              <w:pStyle w:val="2"/>
              <w:rPr>
                <w:rFonts w:hint="default" w:ascii="Times New Roman" w:hAnsi="Times New Roman" w:eastAsia="宋体" w:cs="Times New Roman"/>
                <w:color w:val="auto"/>
                <w:spacing w:val="-12"/>
                <w:sz w:val="21"/>
                <w:szCs w:val="21"/>
              </w:rPr>
            </w:pPr>
          </w:p>
          <w:p>
            <w:pPr>
              <w:pStyle w:val="2"/>
              <w:rPr>
                <w:rFonts w:hint="default" w:ascii="Times New Roman" w:hAnsi="Times New Roman" w:eastAsia="宋体" w:cs="Times New Roman"/>
                <w:color w:val="auto"/>
                <w:spacing w:val="-12"/>
                <w:sz w:val="21"/>
                <w:szCs w:val="21"/>
              </w:rPr>
            </w:pPr>
          </w:p>
          <w:p>
            <w:pPr>
              <w:pStyle w:val="2"/>
              <w:rPr>
                <w:rFonts w:hint="default" w:ascii="Times New Roman" w:hAnsi="Times New Roman" w:eastAsia="宋体" w:cs="Times New Roman"/>
                <w:color w:val="auto"/>
                <w:spacing w:val="-12"/>
                <w:sz w:val="21"/>
                <w:szCs w:val="21"/>
              </w:rPr>
            </w:pPr>
          </w:p>
          <w:p>
            <w:pPr>
              <w:pStyle w:val="2"/>
              <w:rPr>
                <w:rFonts w:hint="default" w:ascii="Times New Roman" w:hAnsi="Times New Roman" w:eastAsia="宋体" w:cs="Times New Roman"/>
                <w:color w:val="auto"/>
                <w:spacing w:val="-12"/>
                <w:sz w:val="21"/>
                <w:szCs w:val="21"/>
              </w:rPr>
            </w:pPr>
          </w:p>
          <w:p>
            <w:pPr>
              <w:pStyle w:val="2"/>
              <w:rPr>
                <w:rFonts w:hint="default" w:ascii="Times New Roman" w:hAnsi="Times New Roman" w:eastAsia="宋体" w:cs="Times New Roman"/>
                <w:color w:val="auto"/>
                <w:spacing w:val="-12"/>
                <w:sz w:val="21"/>
                <w:szCs w:val="21"/>
              </w:rPr>
            </w:pPr>
          </w:p>
        </w:tc>
        <w:tc>
          <w:tcPr>
            <w:tcW w:w="8522" w:type="dxa"/>
          </w:tcPr>
          <w:p>
            <w:pPr>
              <w:pStyle w:val="2"/>
              <w:jc w:val="center"/>
              <w:rPr>
                <w:rFonts w:hint="eastAsia" w:ascii="Times New Roman" w:hAnsi="Times New Roman" w:cs="Times New Roman"/>
                <w:b/>
                <w:bCs/>
                <w:sz w:val="21"/>
                <w:szCs w:val="21"/>
                <w:vertAlign w:val="baseline"/>
                <w:lang w:val="en-US" w:eastAsia="zh-CN"/>
              </w:rPr>
            </w:pPr>
            <w:r>
              <w:drawing>
                <wp:inline distT="0" distB="0" distL="114300" distR="114300">
                  <wp:extent cx="5269865" cy="1981200"/>
                  <wp:effectExtent l="0" t="0" r="6985"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0"/>
                          <a:stretch>
                            <a:fillRect/>
                          </a:stretch>
                        </pic:blipFill>
                        <pic:spPr>
                          <a:xfrm>
                            <a:off x="0" y="0"/>
                            <a:ext cx="5269865" cy="1981200"/>
                          </a:xfrm>
                          <a:prstGeom prst="rect">
                            <a:avLst/>
                          </a:prstGeom>
                          <a:noFill/>
                          <a:ln>
                            <a:noFill/>
                          </a:ln>
                        </pic:spPr>
                      </pic:pic>
                    </a:graphicData>
                  </a:graphic>
                </wp:inline>
              </w:drawing>
            </w:r>
          </w:p>
          <w:p>
            <w:pPr>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图2-</w:t>
            </w:r>
            <w:r>
              <w:rPr>
                <w:rFonts w:hint="eastAsia" w:cs="Times New Roman"/>
                <w:b/>
                <w:bCs/>
                <w:sz w:val="21"/>
                <w:szCs w:val="21"/>
                <w:vertAlign w:val="baseline"/>
                <w:lang w:val="en-US" w:eastAsia="zh-CN"/>
              </w:rPr>
              <w:t>4</w:t>
            </w:r>
            <w:r>
              <w:rPr>
                <w:rFonts w:hint="eastAsia" w:ascii="Times New Roman" w:hAnsi="Times New Roman" w:cs="Times New Roman"/>
                <w:b/>
                <w:bCs/>
                <w:sz w:val="21"/>
                <w:szCs w:val="21"/>
                <w:vertAlign w:val="baseline"/>
                <w:lang w:val="en-US" w:eastAsia="zh-CN"/>
              </w:rPr>
              <w:t xml:space="preserve"> 项目工艺流程图</w:t>
            </w:r>
          </w:p>
          <w:p>
            <w:pPr>
              <w:pStyle w:val="2"/>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（1）倒毛：根据客户需求，将羊毛纱线、棉、化纤纱线进行倒纱整理，将线卷绕成宝塔型筒子，检查是否有断头。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（2）织片：通过横机将纱线编织成针织品各部位的半成品。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（3）套口：将各部位分离的半成品通过套口车缝制成一个整体。</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（4）手缝：人工将部分套口无法缝制的地方进行手工缝合。</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5）水洗：为去除针织服装半成品所含的污垢，在手缝工序完成后，需向洗衣机内加入少量洗涤剂进行洗涤，水浴比为1:10，水温为38~40℃，通过蒸汽管道间接加热，过水约15min，水洗完成后将机内水放出，该工序会产生W1水洗废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6）柔软：为提高产品柔软度、色牢度等性能，水洗后向洗衣机内加入少量柔软平滑剂进行柔软等加工，水浴比为1:10，水温为38~40℃，通过蒸汽管道间接加热，过水约15min，水洗完成后将半成品取出放入塑料盆内，该工序会产生W2柔软废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（7）脱水：人工将水洗好的半成品放入脱水机中，进行三次脱水，脱水机转速约1200r/min，脱水2~3min后取出，根据企业提供资料，脱水后针织服装半成品含水率约为50%，该工序会产生W3脱水废水。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（8）烘干：人工将水洗好的半成品加入烘干机中，利用蒸汽间接加热，加热温度约 80~98℃左右，加热时间约10~30min。烘干工序会产生水蒸气</w:t>
            </w:r>
            <w:r>
              <w:rPr>
                <w:rFonts w:hint="eastAsia"/>
                <w:lang w:eastAsia="zh-CN"/>
              </w:rPr>
              <w:t>，水蒸气冷凝后回用于水洗工序</w:t>
            </w:r>
            <w:r>
              <w:rPr>
                <w:rFonts w:hint="eastAsia"/>
                <w:lang w:val="en-US" w:eastAsia="zh-CN"/>
              </w:rPr>
              <w:t>。烘干后进入下一道工序。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（9）平缝：利用平缝机对针织整体进行进一步缝合形成针织衫成品。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（10）成检：利用检针机对成品进行漏针检验，对漏针缺口进行人工缝补。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r>
              <w:rPr>
                <w:rFonts w:hint="eastAsia"/>
                <w:lang w:val="en-US" w:eastAsia="zh-CN"/>
              </w:rPr>
              <w:t>（</w:t>
            </w:r>
            <w:r>
              <w:rPr>
                <w:rFonts w:hint="default"/>
                <w:lang w:val="en-US" w:eastAsia="zh-CN"/>
              </w:rPr>
              <w:t>11</w:t>
            </w:r>
            <w:r>
              <w:rPr>
                <w:rFonts w:hint="eastAsia"/>
                <w:lang w:val="en-US" w:eastAsia="zh-CN"/>
              </w:rPr>
              <w:t>）灯检：人工将针织衫套在专用模具上，透过灯光对漏针缺口进行进一步检验，对漏针缺口进行人工缝补。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 xml:space="preserve">（12）整烫：人工使用蒸汽熨斗在吸风烫台上对衣服进行整烫定型，整烫温度为 </w:t>
            </w:r>
            <w:r>
              <w:rPr>
                <w:rFonts w:hint="default"/>
                <w:lang w:val="en-US" w:eastAsia="zh-CN"/>
              </w:rPr>
              <w:t>130</w:t>
            </w:r>
            <w:r>
              <w:rPr>
                <w:rFonts w:hint="eastAsia"/>
                <w:lang w:val="en-US" w:eastAsia="zh-CN"/>
              </w:rPr>
              <w:t>℃，使衣服平整且达到工艺所要求的尺寸。蒸汽由国信启东热电有限公司通过管道供应。</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r>
              <w:rPr>
                <w:rFonts w:hint="eastAsia"/>
                <w:lang w:val="en-US" w:eastAsia="zh-CN"/>
              </w:rPr>
              <w:t>（</w:t>
            </w:r>
            <w:r>
              <w:rPr>
                <w:rFonts w:hint="default"/>
                <w:lang w:val="en-US" w:eastAsia="zh-CN"/>
              </w:rPr>
              <w:t>13</w:t>
            </w:r>
            <w:r>
              <w:rPr>
                <w:rFonts w:hint="eastAsia"/>
                <w:lang w:val="en-US" w:eastAsia="zh-CN"/>
              </w:rPr>
              <w:t>）总检：产品出厂前的一次综合检验，内容包括外观质量（尺寸公差、外观疵点，物理指标（件重量、针圈密度）等。</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r>
              <w:rPr>
                <w:rFonts w:hint="eastAsia"/>
                <w:lang w:val="en-US" w:eastAsia="zh-CN"/>
              </w:rPr>
              <w:t>（</w:t>
            </w:r>
            <w:r>
              <w:rPr>
                <w:rFonts w:hint="default"/>
                <w:lang w:val="en-US" w:eastAsia="zh-CN"/>
              </w:rPr>
              <w:t>14</w:t>
            </w:r>
            <w:r>
              <w:rPr>
                <w:rFonts w:hint="eastAsia"/>
                <w:lang w:val="en-US" w:eastAsia="zh-CN"/>
              </w:rPr>
              <w:t>）包装：对检验合格产品进行包装入库。</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 2-</w:t>
            </w:r>
            <w:r>
              <w:rPr>
                <w:rFonts w:hint="eastAsia" w:cs="Times New Roman"/>
                <w:b/>
                <w:bCs/>
                <w:color w:val="auto"/>
                <w:lang w:val="en-US" w:eastAsia="zh-CN"/>
              </w:rPr>
              <w:t>7</w:t>
            </w:r>
            <w:r>
              <w:rPr>
                <w:rFonts w:hint="default" w:ascii="Times New Roman" w:hAnsi="Times New Roman" w:cs="Times New Roman"/>
                <w:b/>
                <w:bCs/>
                <w:color w:val="auto"/>
              </w:rPr>
              <w:t xml:space="preserve"> 主要产污环节及排污特征</w:t>
            </w:r>
          </w:p>
          <w:tbl>
            <w:tblPr>
              <w:tblStyle w:val="12"/>
              <w:tblW w:w="815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68"/>
              <w:gridCol w:w="1023"/>
              <w:gridCol w:w="2064"/>
              <w:gridCol w:w="909"/>
              <w:gridCol w:w="29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82"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类型</w:t>
                  </w:r>
                </w:p>
              </w:tc>
              <w:tc>
                <w:tcPr>
                  <w:tcW w:w="668"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编号</w:t>
                  </w:r>
                </w:p>
              </w:tc>
              <w:tc>
                <w:tcPr>
                  <w:tcW w:w="1023"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产污环节</w:t>
                  </w:r>
                </w:p>
              </w:tc>
              <w:tc>
                <w:tcPr>
                  <w:tcW w:w="2064"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主要污染因子</w:t>
                  </w:r>
                </w:p>
              </w:tc>
              <w:tc>
                <w:tcPr>
                  <w:tcW w:w="909"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特征</w:t>
                  </w:r>
                </w:p>
              </w:tc>
              <w:tc>
                <w:tcPr>
                  <w:tcW w:w="2912"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处理措施及排放去向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2"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废气</w:t>
                  </w:r>
                </w:p>
              </w:tc>
              <w:tc>
                <w:tcPr>
                  <w:tcW w:w="668"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G1</w:t>
                  </w:r>
                </w:p>
              </w:tc>
              <w:tc>
                <w:tcPr>
                  <w:tcW w:w="1023"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污水处理站</w:t>
                  </w:r>
                </w:p>
              </w:tc>
              <w:tc>
                <w:tcPr>
                  <w:tcW w:w="2064"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氨、硫化氢、臭气浓度</w:t>
                  </w:r>
                </w:p>
              </w:tc>
              <w:tc>
                <w:tcPr>
                  <w:tcW w:w="909"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eastAsia" w:cs="Times New Roman"/>
                      <w:color w:val="auto"/>
                      <w:sz w:val="18"/>
                      <w:szCs w:val="18"/>
                      <w:lang w:val="en-US" w:eastAsia="zh-CN"/>
                    </w:rPr>
                    <w:t>连续</w:t>
                  </w:r>
                </w:p>
              </w:tc>
              <w:tc>
                <w:tcPr>
                  <w:tcW w:w="2912" w:type="dxa"/>
                  <w:tcBorders>
                    <w:tl2br w:val="nil"/>
                    <w:tr2bl w:val="nil"/>
                  </w:tcBorders>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2" w:type="dxa"/>
                  <w:vMerge w:val="restart"/>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废水</w:t>
                  </w:r>
                </w:p>
              </w:tc>
              <w:tc>
                <w:tcPr>
                  <w:tcW w:w="668"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W1</w:t>
                  </w:r>
                </w:p>
              </w:tc>
              <w:tc>
                <w:tcPr>
                  <w:tcW w:w="1023"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水洗废水</w:t>
                  </w:r>
                </w:p>
              </w:tc>
              <w:tc>
                <w:tcPr>
                  <w:tcW w:w="2064" w:type="dxa"/>
                  <w:tcBorders>
                    <w:tl2br w:val="nil"/>
                    <w:tr2bl w:val="nil"/>
                  </w:tcBorders>
                  <w:vAlign w:val="center"/>
                </w:tcPr>
                <w:p>
                  <w:pPr>
                    <w:bidi w:val="0"/>
                    <w:jc w:val="center"/>
                    <w:rPr>
                      <w:rFonts w:hint="eastAsia" w:cs="Times New Roman"/>
                      <w:color w:val="auto"/>
                      <w:sz w:val="18"/>
                      <w:szCs w:val="18"/>
                      <w:lang w:val="en-US" w:eastAsia="zh-CN"/>
                    </w:rPr>
                  </w:pPr>
                  <w:r>
                    <w:rPr>
                      <w:sz w:val="18"/>
                      <w:szCs w:val="18"/>
                    </w:rPr>
                    <w:t>COD、SS、NH</w:t>
                  </w:r>
                  <w:r>
                    <w:rPr>
                      <w:sz w:val="18"/>
                      <w:szCs w:val="18"/>
                      <w:vertAlign w:val="subscript"/>
                    </w:rPr>
                    <w:t>3</w:t>
                  </w:r>
                  <w:r>
                    <w:rPr>
                      <w:sz w:val="18"/>
                      <w:szCs w:val="18"/>
                    </w:rPr>
                    <w:t>-N</w:t>
                  </w:r>
                  <w:r>
                    <w:rPr>
                      <w:rFonts w:hint="eastAsia"/>
                      <w:sz w:val="18"/>
                      <w:szCs w:val="18"/>
                    </w:rPr>
                    <w:t>、TP、TN、LAS、色度</w:t>
                  </w:r>
                </w:p>
              </w:tc>
              <w:tc>
                <w:tcPr>
                  <w:tcW w:w="909"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间歇</w:t>
                  </w:r>
                </w:p>
              </w:tc>
              <w:tc>
                <w:tcPr>
                  <w:tcW w:w="2912" w:type="dxa"/>
                  <w:tcBorders>
                    <w:tl2br w:val="nil"/>
                    <w:tr2bl w:val="nil"/>
                  </w:tcBorders>
                  <w:vAlign w:val="center"/>
                </w:tcPr>
                <w:p>
                  <w:pPr>
                    <w:bidi w:val="0"/>
                    <w:jc w:val="center"/>
                    <w:rPr>
                      <w:rFonts w:hint="eastAsia" w:cs="Times New Roman"/>
                      <w:color w:val="auto"/>
                      <w:sz w:val="18"/>
                      <w:szCs w:val="18"/>
                      <w:lang w:eastAsia="zh-CN"/>
                    </w:rPr>
                  </w:pPr>
                  <w:r>
                    <w:rPr>
                      <w:rFonts w:hint="eastAsia" w:cs="Times New Roman"/>
                      <w:color w:val="auto"/>
                      <w:sz w:val="18"/>
                      <w:szCs w:val="18"/>
                      <w:lang w:eastAsia="zh-CN"/>
                    </w:rPr>
                    <w:t>污水处理设施处理后，送至启东城市污水处理厂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2" w:type="dxa"/>
                  <w:vMerge w:val="continue"/>
                  <w:tcBorders>
                    <w:tl2br w:val="nil"/>
                    <w:tr2bl w:val="nil"/>
                  </w:tcBorders>
                  <w:vAlign w:val="center"/>
                </w:tcPr>
                <w:p>
                  <w:pPr>
                    <w:bidi w:val="0"/>
                    <w:jc w:val="center"/>
                    <w:rPr>
                      <w:rFonts w:hint="eastAsia" w:cs="Times New Roman"/>
                      <w:color w:val="auto"/>
                      <w:sz w:val="18"/>
                      <w:szCs w:val="18"/>
                      <w:lang w:val="en-US" w:eastAsia="zh-CN"/>
                    </w:rPr>
                  </w:pPr>
                </w:p>
              </w:tc>
              <w:tc>
                <w:tcPr>
                  <w:tcW w:w="668"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W2</w:t>
                  </w:r>
                </w:p>
              </w:tc>
              <w:tc>
                <w:tcPr>
                  <w:tcW w:w="1023"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柔软废水</w:t>
                  </w:r>
                </w:p>
              </w:tc>
              <w:tc>
                <w:tcPr>
                  <w:tcW w:w="2064" w:type="dxa"/>
                  <w:tcBorders>
                    <w:tl2br w:val="nil"/>
                    <w:tr2bl w:val="nil"/>
                  </w:tcBorders>
                  <w:vAlign w:val="center"/>
                </w:tcPr>
                <w:p>
                  <w:pPr>
                    <w:bidi w:val="0"/>
                    <w:jc w:val="center"/>
                    <w:rPr>
                      <w:rFonts w:hint="eastAsia" w:cs="Times New Roman"/>
                      <w:color w:val="auto"/>
                      <w:sz w:val="18"/>
                      <w:szCs w:val="18"/>
                      <w:lang w:val="en-US" w:eastAsia="zh-CN"/>
                    </w:rPr>
                  </w:pPr>
                  <w:r>
                    <w:rPr>
                      <w:sz w:val="18"/>
                      <w:szCs w:val="18"/>
                    </w:rPr>
                    <w:t>COD、SS、NH</w:t>
                  </w:r>
                  <w:r>
                    <w:rPr>
                      <w:sz w:val="18"/>
                      <w:szCs w:val="18"/>
                      <w:vertAlign w:val="subscript"/>
                    </w:rPr>
                    <w:t>3</w:t>
                  </w:r>
                  <w:r>
                    <w:rPr>
                      <w:sz w:val="18"/>
                      <w:szCs w:val="18"/>
                    </w:rPr>
                    <w:t>-N</w:t>
                  </w:r>
                  <w:r>
                    <w:rPr>
                      <w:rFonts w:hint="eastAsia"/>
                      <w:sz w:val="18"/>
                      <w:szCs w:val="18"/>
                    </w:rPr>
                    <w:t>、TP、TN、LAS、色度</w:t>
                  </w:r>
                </w:p>
              </w:tc>
              <w:tc>
                <w:tcPr>
                  <w:tcW w:w="909"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间歇</w:t>
                  </w:r>
                </w:p>
              </w:tc>
              <w:tc>
                <w:tcPr>
                  <w:tcW w:w="2912" w:type="dxa"/>
                  <w:tcBorders>
                    <w:tl2br w:val="nil"/>
                    <w:tr2bl w:val="nil"/>
                  </w:tcBorders>
                  <w:vAlign w:val="center"/>
                </w:tcPr>
                <w:p>
                  <w:pPr>
                    <w:bidi w:val="0"/>
                    <w:jc w:val="center"/>
                    <w:rPr>
                      <w:rFonts w:hint="eastAsia" w:cs="Times New Roman"/>
                      <w:color w:val="auto"/>
                      <w:sz w:val="18"/>
                      <w:szCs w:val="18"/>
                      <w:lang w:eastAsia="zh-CN"/>
                    </w:rPr>
                  </w:pPr>
                  <w:r>
                    <w:rPr>
                      <w:rFonts w:hint="eastAsia" w:cs="Times New Roman"/>
                      <w:color w:val="auto"/>
                      <w:sz w:val="18"/>
                      <w:szCs w:val="18"/>
                      <w:lang w:eastAsia="zh-CN"/>
                    </w:rPr>
                    <w:t>污水处理设施处理后，送至启东城市污水处理厂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2" w:type="dxa"/>
                  <w:vMerge w:val="continue"/>
                  <w:tcBorders>
                    <w:tl2br w:val="nil"/>
                    <w:tr2bl w:val="nil"/>
                  </w:tcBorders>
                  <w:vAlign w:val="center"/>
                </w:tcPr>
                <w:p>
                  <w:pPr>
                    <w:bidi w:val="0"/>
                    <w:jc w:val="center"/>
                    <w:rPr>
                      <w:rFonts w:hint="eastAsia" w:cs="Times New Roman"/>
                      <w:color w:val="auto"/>
                      <w:sz w:val="18"/>
                      <w:szCs w:val="18"/>
                      <w:lang w:val="en-US" w:eastAsia="zh-CN"/>
                    </w:rPr>
                  </w:pPr>
                </w:p>
              </w:tc>
              <w:tc>
                <w:tcPr>
                  <w:tcW w:w="668"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W3</w:t>
                  </w:r>
                </w:p>
              </w:tc>
              <w:tc>
                <w:tcPr>
                  <w:tcW w:w="1023"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脱水废水</w:t>
                  </w:r>
                </w:p>
              </w:tc>
              <w:tc>
                <w:tcPr>
                  <w:tcW w:w="2064" w:type="dxa"/>
                  <w:tcBorders>
                    <w:tl2br w:val="nil"/>
                    <w:tr2bl w:val="nil"/>
                  </w:tcBorders>
                  <w:vAlign w:val="center"/>
                </w:tcPr>
                <w:p>
                  <w:pPr>
                    <w:bidi w:val="0"/>
                    <w:jc w:val="center"/>
                    <w:rPr>
                      <w:rFonts w:hint="eastAsia" w:cs="Times New Roman"/>
                      <w:color w:val="auto"/>
                      <w:sz w:val="18"/>
                      <w:szCs w:val="18"/>
                      <w:lang w:val="en-US" w:eastAsia="zh-CN"/>
                    </w:rPr>
                  </w:pPr>
                  <w:r>
                    <w:rPr>
                      <w:sz w:val="18"/>
                      <w:szCs w:val="18"/>
                    </w:rPr>
                    <w:t>COD、SS、NH</w:t>
                  </w:r>
                  <w:r>
                    <w:rPr>
                      <w:sz w:val="18"/>
                      <w:szCs w:val="18"/>
                      <w:vertAlign w:val="subscript"/>
                    </w:rPr>
                    <w:t>3</w:t>
                  </w:r>
                  <w:r>
                    <w:rPr>
                      <w:sz w:val="18"/>
                      <w:szCs w:val="18"/>
                    </w:rPr>
                    <w:t>-N</w:t>
                  </w:r>
                  <w:r>
                    <w:rPr>
                      <w:rFonts w:hint="eastAsia"/>
                      <w:sz w:val="18"/>
                      <w:szCs w:val="18"/>
                    </w:rPr>
                    <w:t>、TP、TN、LAS、色度</w:t>
                  </w:r>
                </w:p>
              </w:tc>
              <w:tc>
                <w:tcPr>
                  <w:tcW w:w="909"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间歇</w:t>
                  </w:r>
                </w:p>
              </w:tc>
              <w:tc>
                <w:tcPr>
                  <w:tcW w:w="2912" w:type="dxa"/>
                  <w:tcBorders>
                    <w:tl2br w:val="nil"/>
                    <w:tr2bl w:val="nil"/>
                  </w:tcBorders>
                  <w:vAlign w:val="center"/>
                </w:tcPr>
                <w:p>
                  <w:pPr>
                    <w:bidi w:val="0"/>
                    <w:jc w:val="center"/>
                    <w:rPr>
                      <w:rFonts w:hint="eastAsia" w:cs="Times New Roman"/>
                      <w:color w:val="auto"/>
                      <w:sz w:val="18"/>
                      <w:szCs w:val="18"/>
                      <w:lang w:eastAsia="zh-CN"/>
                    </w:rPr>
                  </w:pPr>
                  <w:r>
                    <w:rPr>
                      <w:rFonts w:hint="eastAsia" w:cs="Times New Roman"/>
                      <w:color w:val="auto"/>
                      <w:sz w:val="18"/>
                      <w:szCs w:val="18"/>
                      <w:lang w:eastAsia="zh-CN"/>
                    </w:rPr>
                    <w:t>污水处理设施处理后，送至启东城市污水处理厂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582" w:type="dxa"/>
                  <w:vMerge w:val="restart"/>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固废</w:t>
                  </w:r>
                </w:p>
              </w:tc>
              <w:tc>
                <w:tcPr>
                  <w:tcW w:w="668"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S1</w:t>
                  </w:r>
                </w:p>
              </w:tc>
              <w:tc>
                <w:tcPr>
                  <w:tcW w:w="1023"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倒毛</w:t>
                  </w:r>
                </w:p>
              </w:tc>
              <w:tc>
                <w:tcPr>
                  <w:tcW w:w="2064"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废纱</w:t>
                  </w:r>
                </w:p>
              </w:tc>
              <w:tc>
                <w:tcPr>
                  <w:tcW w:w="909"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eastAsia" w:cs="Times New Roman"/>
                      <w:color w:val="auto"/>
                      <w:sz w:val="18"/>
                      <w:szCs w:val="18"/>
                      <w:lang w:val="en-US" w:eastAsia="zh-CN"/>
                    </w:rPr>
                    <w:t>间歇</w:t>
                  </w:r>
                </w:p>
              </w:tc>
              <w:tc>
                <w:tcPr>
                  <w:tcW w:w="2912"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eastAsia"/>
                      <w:sz w:val="18"/>
                      <w:szCs w:val="18"/>
                    </w:rPr>
                    <w:t>收集后外售综合利用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82" w:type="dxa"/>
                  <w:vMerge w:val="continue"/>
                  <w:tcBorders>
                    <w:tl2br w:val="nil"/>
                    <w:tr2bl w:val="nil"/>
                  </w:tcBorders>
                  <w:vAlign w:val="center"/>
                </w:tcPr>
                <w:p>
                  <w:pPr>
                    <w:bidi w:val="0"/>
                    <w:jc w:val="center"/>
                    <w:rPr>
                      <w:rFonts w:hint="eastAsia" w:cs="Times New Roman"/>
                      <w:color w:val="auto"/>
                      <w:sz w:val="18"/>
                      <w:szCs w:val="18"/>
                      <w:lang w:val="en-US" w:eastAsia="zh-CN"/>
                    </w:rPr>
                  </w:pPr>
                </w:p>
              </w:tc>
              <w:tc>
                <w:tcPr>
                  <w:tcW w:w="668"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S2</w:t>
                  </w:r>
                </w:p>
              </w:tc>
              <w:tc>
                <w:tcPr>
                  <w:tcW w:w="1023"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织片</w:t>
                  </w:r>
                </w:p>
              </w:tc>
              <w:tc>
                <w:tcPr>
                  <w:tcW w:w="2064"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废纱</w:t>
                  </w:r>
                </w:p>
              </w:tc>
              <w:tc>
                <w:tcPr>
                  <w:tcW w:w="909"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eastAsia" w:cs="Times New Roman"/>
                      <w:color w:val="auto"/>
                      <w:sz w:val="18"/>
                      <w:szCs w:val="18"/>
                      <w:lang w:val="en-US" w:eastAsia="zh-CN"/>
                    </w:rPr>
                    <w:t>间歇</w:t>
                  </w:r>
                </w:p>
              </w:tc>
              <w:tc>
                <w:tcPr>
                  <w:tcW w:w="2912"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eastAsia"/>
                      <w:sz w:val="18"/>
                      <w:szCs w:val="18"/>
                    </w:rPr>
                    <w:t>收集后外售综合利用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82" w:type="dxa"/>
                  <w:vMerge w:val="continue"/>
                  <w:tcBorders>
                    <w:tl2br w:val="nil"/>
                    <w:tr2bl w:val="nil"/>
                  </w:tcBorders>
                  <w:vAlign w:val="center"/>
                </w:tcPr>
                <w:p>
                  <w:pPr>
                    <w:bidi w:val="0"/>
                    <w:jc w:val="center"/>
                    <w:rPr>
                      <w:rFonts w:hint="eastAsia" w:cs="Times New Roman"/>
                      <w:color w:val="auto"/>
                      <w:sz w:val="18"/>
                      <w:szCs w:val="18"/>
                      <w:lang w:val="en-US" w:eastAsia="zh-CN"/>
                    </w:rPr>
                  </w:pPr>
                </w:p>
              </w:tc>
              <w:tc>
                <w:tcPr>
                  <w:tcW w:w="668"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S3</w:t>
                  </w:r>
                </w:p>
              </w:tc>
              <w:tc>
                <w:tcPr>
                  <w:tcW w:w="1023"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总检</w:t>
                  </w:r>
                </w:p>
              </w:tc>
              <w:tc>
                <w:tcPr>
                  <w:tcW w:w="2064"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不合格品</w:t>
                  </w:r>
                </w:p>
              </w:tc>
              <w:tc>
                <w:tcPr>
                  <w:tcW w:w="909" w:type="dxa"/>
                  <w:tcBorders>
                    <w:tl2br w:val="nil"/>
                    <w:tr2bl w:val="nil"/>
                  </w:tcBorders>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间歇</w:t>
                  </w:r>
                </w:p>
              </w:tc>
              <w:tc>
                <w:tcPr>
                  <w:tcW w:w="2912"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eastAsia"/>
                      <w:sz w:val="18"/>
                      <w:szCs w:val="18"/>
                    </w:rPr>
                    <w:t>收集后外售综合利用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2" w:type="dxa"/>
                  <w:vMerge w:val="continue"/>
                  <w:tcBorders>
                    <w:tl2br w:val="nil"/>
                    <w:tr2bl w:val="nil"/>
                  </w:tcBorders>
                  <w:vAlign w:val="center"/>
                </w:tcPr>
                <w:p>
                  <w:pPr>
                    <w:bidi w:val="0"/>
                    <w:jc w:val="center"/>
                    <w:rPr>
                      <w:rFonts w:hint="eastAsia" w:cs="Times New Roman"/>
                      <w:color w:val="auto"/>
                      <w:sz w:val="18"/>
                      <w:szCs w:val="18"/>
                      <w:lang w:val="en-US" w:eastAsia="zh-CN"/>
                    </w:rPr>
                  </w:pPr>
                </w:p>
              </w:tc>
              <w:tc>
                <w:tcPr>
                  <w:tcW w:w="668"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S4</w:t>
                  </w:r>
                </w:p>
              </w:tc>
              <w:tc>
                <w:tcPr>
                  <w:tcW w:w="1023"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原料使用</w:t>
                  </w:r>
                </w:p>
              </w:tc>
              <w:tc>
                <w:tcPr>
                  <w:tcW w:w="2064"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废包装桶</w:t>
                  </w:r>
                </w:p>
              </w:tc>
              <w:tc>
                <w:tcPr>
                  <w:tcW w:w="909"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间歇</w:t>
                  </w:r>
                </w:p>
              </w:tc>
              <w:tc>
                <w:tcPr>
                  <w:tcW w:w="2912" w:type="dxa"/>
                  <w:tcBorders>
                    <w:tl2br w:val="nil"/>
                    <w:tr2bl w:val="nil"/>
                  </w:tcBorders>
                  <w:vAlign w:val="center"/>
                </w:tcPr>
                <w:p>
                  <w:pPr>
                    <w:bidi w:val="0"/>
                    <w:jc w:val="center"/>
                    <w:rPr>
                      <w:rFonts w:hint="eastAsia" w:eastAsia="宋体" w:cs="Times New Roman"/>
                      <w:color w:val="auto"/>
                      <w:sz w:val="18"/>
                      <w:szCs w:val="18"/>
                      <w:lang w:eastAsia="zh-CN"/>
                    </w:rPr>
                  </w:pPr>
                  <w:r>
                    <w:rPr>
                      <w:rFonts w:hint="eastAsia"/>
                      <w:sz w:val="18"/>
                      <w:szCs w:val="18"/>
                      <w:lang w:eastAsia="zh-CN"/>
                    </w:rPr>
                    <w:t>交由有资质单位处置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2" w:type="dxa"/>
                  <w:vMerge w:val="continue"/>
                  <w:tcBorders>
                    <w:tl2br w:val="nil"/>
                    <w:tr2bl w:val="nil"/>
                  </w:tcBorders>
                  <w:vAlign w:val="center"/>
                </w:tcPr>
                <w:p>
                  <w:pPr>
                    <w:bidi w:val="0"/>
                    <w:jc w:val="center"/>
                    <w:rPr>
                      <w:rFonts w:hint="eastAsia" w:cs="Times New Roman"/>
                      <w:color w:val="auto"/>
                      <w:sz w:val="18"/>
                      <w:szCs w:val="18"/>
                      <w:lang w:val="en-US" w:eastAsia="zh-CN"/>
                    </w:rPr>
                  </w:pPr>
                </w:p>
              </w:tc>
              <w:tc>
                <w:tcPr>
                  <w:tcW w:w="668"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S5</w:t>
                  </w:r>
                </w:p>
              </w:tc>
              <w:tc>
                <w:tcPr>
                  <w:tcW w:w="1023"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废水处理</w:t>
                  </w:r>
                </w:p>
              </w:tc>
              <w:tc>
                <w:tcPr>
                  <w:tcW w:w="2064"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污泥</w:t>
                  </w:r>
                </w:p>
              </w:tc>
              <w:tc>
                <w:tcPr>
                  <w:tcW w:w="909" w:type="dxa"/>
                  <w:tcBorders>
                    <w:tl2br w:val="nil"/>
                    <w:tr2bl w:val="nil"/>
                  </w:tcBorders>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间歇</w:t>
                  </w:r>
                </w:p>
              </w:tc>
              <w:tc>
                <w:tcPr>
                  <w:tcW w:w="2912"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eastAsia"/>
                      <w:sz w:val="18"/>
                      <w:szCs w:val="18"/>
                      <w:lang w:eastAsia="zh-CN"/>
                    </w:rPr>
                    <w:t>交由有资质单位处置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2" w:type="dxa"/>
                  <w:vMerge w:val="continue"/>
                  <w:tcBorders>
                    <w:tl2br w:val="nil"/>
                    <w:tr2bl w:val="nil"/>
                  </w:tcBorders>
                  <w:vAlign w:val="center"/>
                </w:tcPr>
                <w:p>
                  <w:pPr>
                    <w:bidi w:val="0"/>
                    <w:jc w:val="center"/>
                    <w:rPr>
                      <w:rFonts w:hint="eastAsia" w:cs="Times New Roman"/>
                      <w:color w:val="auto"/>
                      <w:sz w:val="18"/>
                      <w:szCs w:val="18"/>
                      <w:lang w:val="en-US" w:eastAsia="zh-CN"/>
                    </w:rPr>
                  </w:pPr>
                </w:p>
              </w:tc>
              <w:tc>
                <w:tcPr>
                  <w:tcW w:w="668"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S6</w:t>
                  </w:r>
                </w:p>
              </w:tc>
              <w:tc>
                <w:tcPr>
                  <w:tcW w:w="1023"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在线监测</w:t>
                  </w:r>
                </w:p>
              </w:tc>
              <w:tc>
                <w:tcPr>
                  <w:tcW w:w="2064"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废水在线监测废液</w:t>
                  </w:r>
                </w:p>
              </w:tc>
              <w:tc>
                <w:tcPr>
                  <w:tcW w:w="909" w:type="dxa"/>
                  <w:tcBorders>
                    <w:tl2br w:val="nil"/>
                    <w:tr2bl w:val="nil"/>
                  </w:tcBorders>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间歇</w:t>
                  </w:r>
                </w:p>
              </w:tc>
              <w:tc>
                <w:tcPr>
                  <w:tcW w:w="2912" w:type="dxa"/>
                  <w:tcBorders>
                    <w:tl2br w:val="nil"/>
                    <w:tr2bl w:val="nil"/>
                  </w:tcBorders>
                  <w:vAlign w:val="center"/>
                </w:tcPr>
                <w:p>
                  <w:pPr>
                    <w:bidi w:val="0"/>
                    <w:jc w:val="center"/>
                    <w:rPr>
                      <w:rFonts w:hint="eastAsia"/>
                      <w:sz w:val="18"/>
                      <w:szCs w:val="18"/>
                    </w:rPr>
                  </w:pPr>
                  <w:r>
                    <w:rPr>
                      <w:rFonts w:hint="eastAsia"/>
                      <w:sz w:val="18"/>
                      <w:szCs w:val="18"/>
                      <w:lang w:eastAsia="zh-CN"/>
                    </w:rPr>
                    <w:t>交由有资质单位处置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82"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噪声</w:t>
                  </w:r>
                </w:p>
              </w:tc>
              <w:tc>
                <w:tcPr>
                  <w:tcW w:w="668" w:type="dxa"/>
                  <w:tcBorders>
                    <w:tl2br w:val="nil"/>
                    <w:tr2bl w:val="nil"/>
                  </w:tcBorders>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N</w:t>
                  </w:r>
                </w:p>
              </w:tc>
              <w:tc>
                <w:tcPr>
                  <w:tcW w:w="1023" w:type="dxa"/>
                  <w:tcBorders>
                    <w:tl2br w:val="nil"/>
                    <w:tr2bl w:val="nil"/>
                  </w:tcBorders>
                  <w:vAlign w:val="center"/>
                </w:tcPr>
                <w:p>
                  <w:pPr>
                    <w:bidi w:val="0"/>
                    <w:jc w:val="center"/>
                    <w:rPr>
                      <w:rFonts w:hint="eastAsia" w:cs="Times New Roman"/>
                      <w:color w:val="auto"/>
                      <w:sz w:val="18"/>
                      <w:szCs w:val="18"/>
                      <w:lang w:val="en-US" w:eastAsia="zh-CN"/>
                    </w:rPr>
                  </w:pPr>
                  <w:r>
                    <w:rPr>
                      <w:rFonts w:hint="default" w:ascii="Times New Roman" w:hAnsi="Times New Roman" w:cs="Times New Roman"/>
                      <w:color w:val="auto"/>
                      <w:sz w:val="18"/>
                      <w:szCs w:val="18"/>
                      <w:lang w:val="en-US" w:eastAsia="zh-CN"/>
                    </w:rPr>
                    <w:t>各类生产设备</w:t>
                  </w:r>
                </w:p>
              </w:tc>
              <w:tc>
                <w:tcPr>
                  <w:tcW w:w="2064" w:type="dxa"/>
                  <w:tcBorders>
                    <w:tl2br w:val="nil"/>
                    <w:tr2bl w:val="nil"/>
                  </w:tcBorders>
                  <w:vAlign w:val="center"/>
                </w:tcPr>
                <w:p>
                  <w:pPr>
                    <w:bidi w:val="0"/>
                    <w:jc w:val="center"/>
                    <w:rPr>
                      <w:rFonts w:hint="eastAsia" w:cs="Times New Roman"/>
                      <w:color w:val="auto"/>
                      <w:sz w:val="18"/>
                      <w:szCs w:val="18"/>
                      <w:lang w:val="en-US" w:eastAsia="zh-CN"/>
                    </w:rPr>
                  </w:pPr>
                  <w:r>
                    <w:rPr>
                      <w:rFonts w:hint="default" w:ascii="Times New Roman" w:hAnsi="Times New Roman" w:cs="Times New Roman"/>
                      <w:color w:val="auto"/>
                      <w:sz w:val="18"/>
                      <w:szCs w:val="18"/>
                      <w:lang w:val="en-US" w:eastAsia="zh-CN"/>
                    </w:rPr>
                    <w:t>Leq(A)</w:t>
                  </w:r>
                </w:p>
              </w:tc>
              <w:tc>
                <w:tcPr>
                  <w:tcW w:w="909"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间歇</w:t>
                  </w:r>
                </w:p>
              </w:tc>
              <w:tc>
                <w:tcPr>
                  <w:tcW w:w="2912" w:type="dxa"/>
                  <w:tcBorders>
                    <w:tl2br w:val="nil"/>
                    <w:tr2bl w:val="nil"/>
                  </w:tcBorders>
                  <w:vAlign w:val="center"/>
                </w:tcPr>
                <w:p>
                  <w:pPr>
                    <w:bidi w:val="0"/>
                    <w:jc w:val="center"/>
                    <w:rPr>
                      <w:rFonts w:hint="default" w:ascii="Times New Roman" w:hAnsi="Times New Roman" w:cs="Times New Roman"/>
                      <w:color w:val="auto"/>
                      <w:sz w:val="18"/>
                      <w:szCs w:val="18"/>
                      <w:lang w:eastAsia="zh-CN"/>
                    </w:rPr>
                  </w:pPr>
                  <w:r>
                    <w:rPr>
                      <w:rFonts w:hint="default" w:ascii="Times New Roman" w:hAnsi="Times New Roman" w:eastAsia="宋体" w:cs="Times New Roman"/>
                      <w:color w:val="auto"/>
                      <w:spacing w:val="8"/>
                      <w:sz w:val="18"/>
                      <w:szCs w:val="18"/>
                    </w:rPr>
                    <w:t>隔</w:t>
                  </w:r>
                  <w:r>
                    <w:rPr>
                      <w:rFonts w:hint="default" w:ascii="Times New Roman" w:hAnsi="Times New Roman" w:eastAsia="宋体" w:cs="Times New Roman"/>
                      <w:color w:val="auto"/>
                      <w:spacing w:val="5"/>
                      <w:sz w:val="18"/>
                      <w:szCs w:val="18"/>
                    </w:rPr>
                    <w:t>声、减振</w:t>
                  </w: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7" w:type="dxa"/>
          <w:trHeight w:val="629" w:hRule="atLeast"/>
        </w:trPr>
        <w:tc>
          <w:tcPr>
            <w:tcW w:w="670" w:type="dxa"/>
            <w:gridSpan w:val="2"/>
            <w:vAlign w:val="center"/>
          </w:tcPr>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rPr>
            </w:pPr>
            <w:r>
              <w:rPr>
                <w:rFonts w:hint="eastAsia"/>
                <w:lang w:val="en-US" w:eastAsia="zh-CN"/>
              </w:rPr>
              <w:t>与项目有关的原有环境污染问题</w:t>
            </w:r>
          </w:p>
        </w:tc>
        <w:tc>
          <w:tcPr>
            <w:tcW w:w="8522" w:type="dxa"/>
          </w:tcPr>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210" w:leftChars="0" w:firstLine="420" w:firstLineChars="0"/>
              <w:textAlignment w:val="auto"/>
              <w:rPr>
                <w:rFonts w:hint="eastAsia"/>
                <w:b/>
                <w:bCs/>
                <w:szCs w:val="21"/>
              </w:rPr>
            </w:pPr>
            <w:r>
              <w:rPr>
                <w:rFonts w:hint="eastAsia"/>
                <w:b/>
                <w:bCs/>
                <w:szCs w:val="21"/>
              </w:rPr>
              <w:t>现有项目概况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sz w:val="21"/>
                <w:szCs w:val="21"/>
                <w:lang w:val="en-US"/>
              </w:rPr>
            </w:pPr>
            <w:r>
              <w:rPr>
                <w:rFonts w:hint="eastAsia"/>
                <w:sz w:val="21"/>
                <w:szCs w:val="21"/>
                <w:lang w:val="en-US" w:eastAsia="zh-CN"/>
              </w:rPr>
              <w:t>2019年南通春秋时装有限公司委托苏州科太环境技术有限公司编制了《春秋时装有限公司水洗服装80万件项目环境影响报告书》，该项目于2019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16日通过启东市行政审批局审批（审批文号：启行审环〔2019〕344号），企业于2020年4月9日完成了了固定污染源排污登记，登记编号为91320681769862988J001Y。</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1"/>
                <w:szCs w:val="21"/>
                <w:lang w:val="en-US" w:eastAsia="zh-CN"/>
              </w:rPr>
            </w:pPr>
            <w:r>
              <w:rPr>
                <w:rFonts w:hint="eastAsia"/>
                <w:b/>
                <w:bCs/>
                <w:sz w:val="21"/>
                <w:szCs w:val="21"/>
                <w:lang w:val="en-US" w:eastAsia="zh-CN"/>
              </w:rPr>
              <w:t>表2-8 建设单位现有环评、验收及排污许可执行情况一览表</w:t>
            </w:r>
          </w:p>
          <w:tbl>
            <w:tblPr>
              <w:tblStyle w:val="1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040"/>
              <w:gridCol w:w="1170"/>
              <w:gridCol w:w="1170"/>
              <w:gridCol w:w="1170"/>
              <w:gridCol w:w="15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18"/>
                      <w:szCs w:val="18"/>
                      <w:lang w:val="en-US" w:eastAsia="zh-CN"/>
                    </w:rPr>
                  </w:pPr>
                  <w:r>
                    <w:rPr>
                      <w:rFonts w:hint="eastAsia"/>
                      <w:b/>
                      <w:bCs/>
                      <w:sz w:val="18"/>
                      <w:szCs w:val="18"/>
                      <w:lang w:val="en-US" w:eastAsia="zh-CN"/>
                    </w:rPr>
                    <w:t>项目建设名称</w:t>
                  </w:r>
                </w:p>
              </w:tc>
              <w:tc>
                <w:tcPr>
                  <w:tcW w:w="20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18"/>
                      <w:szCs w:val="18"/>
                      <w:lang w:val="en-US" w:eastAsia="zh-CN"/>
                    </w:rPr>
                  </w:pPr>
                  <w:r>
                    <w:rPr>
                      <w:rFonts w:hint="eastAsia"/>
                      <w:b/>
                      <w:bCs/>
                      <w:sz w:val="18"/>
                      <w:szCs w:val="18"/>
                      <w:lang w:val="en-US" w:eastAsia="zh-CN"/>
                    </w:rPr>
                    <w:t>环评审批机关文号及时间</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18"/>
                      <w:szCs w:val="18"/>
                      <w:lang w:val="en-US" w:eastAsia="zh-CN"/>
                    </w:rPr>
                  </w:pPr>
                  <w:r>
                    <w:rPr>
                      <w:rFonts w:hint="eastAsia"/>
                      <w:b/>
                      <w:bCs/>
                      <w:sz w:val="18"/>
                      <w:szCs w:val="18"/>
                      <w:lang w:val="en-US" w:eastAsia="zh-CN"/>
                    </w:rPr>
                    <w:t>批复生产能力</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18"/>
                      <w:szCs w:val="18"/>
                      <w:lang w:val="en-US" w:eastAsia="zh-CN"/>
                    </w:rPr>
                  </w:pPr>
                  <w:r>
                    <w:rPr>
                      <w:rFonts w:hint="eastAsia"/>
                      <w:b/>
                      <w:bCs/>
                      <w:sz w:val="18"/>
                      <w:szCs w:val="18"/>
                      <w:lang w:val="en-US" w:eastAsia="zh-CN"/>
                    </w:rPr>
                    <w:t>实际建成生产能力</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18"/>
                      <w:szCs w:val="18"/>
                      <w:lang w:val="en-US" w:eastAsia="zh-CN"/>
                    </w:rPr>
                  </w:pPr>
                  <w:r>
                    <w:rPr>
                      <w:rFonts w:hint="eastAsia"/>
                      <w:b/>
                      <w:bCs/>
                      <w:sz w:val="18"/>
                      <w:szCs w:val="18"/>
                      <w:lang w:val="en-US" w:eastAsia="zh-CN"/>
                    </w:rPr>
                    <w:t>“三同时”验收时间</w:t>
                  </w:r>
                </w:p>
              </w:tc>
              <w:tc>
                <w:tcPr>
                  <w:tcW w:w="15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18"/>
                      <w:szCs w:val="18"/>
                      <w:lang w:val="en-US" w:eastAsia="zh-CN"/>
                    </w:rPr>
                  </w:pPr>
                  <w:r>
                    <w:rPr>
                      <w:rFonts w:hint="eastAsia"/>
                      <w:b/>
                      <w:bCs/>
                      <w:sz w:val="18"/>
                      <w:szCs w:val="18"/>
                      <w:lang w:val="en-US" w:eastAsia="zh-CN"/>
                    </w:rPr>
                    <w:t>排污许可执行时间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水洗服装80万件项目</w:t>
                  </w:r>
                </w:p>
              </w:tc>
              <w:tc>
                <w:tcPr>
                  <w:tcW w:w="20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18"/>
                      <w:szCs w:val="18"/>
                      <w:lang w:val="en-US" w:eastAsia="zh-CN"/>
                    </w:rPr>
                  </w:pPr>
                  <w:r>
                    <w:rPr>
                      <w:rFonts w:hint="eastAsia"/>
                      <w:sz w:val="18"/>
                      <w:szCs w:val="18"/>
                      <w:lang w:val="en-US" w:eastAsia="zh-CN"/>
                    </w:rPr>
                    <w:t>启东市行政审批局审批文号：启行审环〔2019〕344号；2019.12.6</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年生产、水洗服装80万件</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eastAsia="zh-CN"/>
                    </w:rPr>
                  </w:pPr>
                  <w:r>
                    <w:rPr>
                      <w:rFonts w:hint="eastAsia"/>
                      <w:sz w:val="18"/>
                      <w:szCs w:val="18"/>
                      <w:lang w:val="en-US" w:eastAsia="zh-CN"/>
                    </w:rPr>
                    <w:t>未验收</w:t>
                  </w:r>
                </w:p>
              </w:tc>
              <w:tc>
                <w:tcPr>
                  <w:tcW w:w="15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18"/>
                      <w:szCs w:val="18"/>
                      <w:lang w:val="en-US" w:eastAsia="zh-CN"/>
                    </w:rPr>
                  </w:pPr>
                  <w:r>
                    <w:rPr>
                      <w:rFonts w:hint="eastAsia"/>
                      <w:sz w:val="18"/>
                      <w:szCs w:val="18"/>
                      <w:lang w:val="en-US" w:eastAsia="zh-CN"/>
                    </w:rPr>
                    <w:t>固定污染源排污登记，有效期：2020.4.9-2025.4.8</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1"/>
                <w:szCs w:val="21"/>
                <w:lang w:val="en-US" w:eastAsia="zh-CN"/>
              </w:rPr>
            </w:pPr>
            <w:r>
              <w:rPr>
                <w:rFonts w:hint="eastAsia"/>
                <w:b/>
                <w:bCs/>
                <w:sz w:val="21"/>
                <w:szCs w:val="21"/>
                <w:lang w:val="en-US" w:eastAsia="zh-CN"/>
              </w:rPr>
              <w:t>表2-9 现有项目产品方案一览表</w:t>
            </w:r>
          </w:p>
          <w:tbl>
            <w:tblPr>
              <w:tblStyle w:val="12"/>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2059"/>
              <w:gridCol w:w="2369"/>
              <w:gridCol w:w="17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59"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工程名称</w:t>
                  </w:r>
                </w:p>
              </w:tc>
              <w:tc>
                <w:tcPr>
                  <w:tcW w:w="2059"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产品名称</w:t>
                  </w:r>
                </w:p>
              </w:tc>
              <w:tc>
                <w:tcPr>
                  <w:tcW w:w="2369"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设计能力</w:t>
                  </w:r>
                </w:p>
              </w:tc>
              <w:tc>
                <w:tcPr>
                  <w:tcW w:w="1753"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运行时间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59" w:type="dxa"/>
                  <w:vMerge w:val="restart"/>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针织服装生产线</w:t>
                  </w:r>
                </w:p>
              </w:tc>
              <w:tc>
                <w:tcPr>
                  <w:tcW w:w="2059"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全羊毛服装</w:t>
                  </w:r>
                </w:p>
              </w:tc>
              <w:tc>
                <w:tcPr>
                  <w:tcW w:w="2369"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8万件/年</w:t>
                  </w:r>
                </w:p>
              </w:tc>
              <w:tc>
                <w:tcPr>
                  <w:tcW w:w="1753"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2400h/a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059" w:type="dxa"/>
                  <w:vMerge w:val="continue"/>
                  <w:tcBorders>
                    <w:tl2br w:val="nil"/>
                    <w:tr2bl w:val="nil"/>
                  </w:tcBorders>
                  <w:vAlign w:val="center"/>
                </w:tcPr>
                <w:p>
                  <w:pPr>
                    <w:bidi w:val="0"/>
                    <w:jc w:val="center"/>
                    <w:rPr>
                      <w:rFonts w:hint="eastAsia"/>
                      <w:sz w:val="18"/>
                      <w:szCs w:val="18"/>
                      <w:lang w:val="en-US" w:eastAsia="zh-CN"/>
                    </w:rPr>
                  </w:pPr>
                </w:p>
              </w:tc>
              <w:tc>
                <w:tcPr>
                  <w:tcW w:w="2059"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全棉服装</w:t>
                  </w:r>
                </w:p>
              </w:tc>
              <w:tc>
                <w:tcPr>
                  <w:tcW w:w="2369"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10万件/年</w:t>
                  </w:r>
                </w:p>
              </w:tc>
              <w:tc>
                <w:tcPr>
                  <w:tcW w:w="1753" w:type="dxa"/>
                  <w:vMerge w:val="continue"/>
                  <w:tcBorders>
                    <w:tl2br w:val="nil"/>
                    <w:tr2bl w:val="nil"/>
                  </w:tcBorders>
                  <w:vAlign w:val="center"/>
                </w:tcPr>
                <w:p>
                  <w:pPr>
                    <w:bidi w:val="0"/>
                    <w:jc w:val="center"/>
                    <w:rPr>
                      <w:rFonts w:hint="eastAsia"/>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59" w:type="dxa"/>
                  <w:vMerge w:val="continue"/>
                  <w:tcBorders>
                    <w:tl2br w:val="nil"/>
                    <w:tr2bl w:val="nil"/>
                  </w:tcBorders>
                  <w:vAlign w:val="center"/>
                </w:tcPr>
                <w:p>
                  <w:pPr>
                    <w:bidi w:val="0"/>
                    <w:jc w:val="center"/>
                    <w:rPr>
                      <w:rFonts w:hint="eastAsia"/>
                      <w:sz w:val="18"/>
                      <w:szCs w:val="18"/>
                      <w:lang w:val="en-US" w:eastAsia="zh-CN"/>
                    </w:rPr>
                  </w:pPr>
                </w:p>
              </w:tc>
              <w:tc>
                <w:tcPr>
                  <w:tcW w:w="2059"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化纤服装</w:t>
                  </w:r>
                </w:p>
              </w:tc>
              <w:tc>
                <w:tcPr>
                  <w:tcW w:w="2369"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62万件/年</w:t>
                  </w:r>
                </w:p>
              </w:tc>
              <w:tc>
                <w:tcPr>
                  <w:tcW w:w="1753" w:type="dxa"/>
                  <w:vMerge w:val="continue"/>
                  <w:tcBorders>
                    <w:tl2br w:val="nil"/>
                    <w:tr2bl w:val="nil"/>
                  </w:tcBorders>
                  <w:vAlign w:val="center"/>
                </w:tcPr>
                <w:p>
                  <w:pPr>
                    <w:bidi w:val="0"/>
                    <w:jc w:val="center"/>
                    <w:rPr>
                      <w:rFonts w:hint="eastAsia"/>
                      <w:sz w:val="18"/>
                      <w:szCs w:val="18"/>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1"/>
                <w:szCs w:val="21"/>
                <w:lang w:val="en-US" w:eastAsia="zh-CN"/>
              </w:rPr>
            </w:pPr>
            <w:r>
              <w:rPr>
                <w:rFonts w:hint="eastAsia"/>
                <w:b/>
                <w:bCs/>
                <w:sz w:val="21"/>
                <w:szCs w:val="21"/>
                <w:lang w:val="en-US" w:eastAsia="zh-CN"/>
              </w:rPr>
              <w:t>表2-10 现有项目工程内容一览表</w:t>
            </w:r>
          </w:p>
          <w:tbl>
            <w:tblPr>
              <w:tblStyle w:val="1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0"/>
              <w:gridCol w:w="645"/>
              <w:gridCol w:w="1155"/>
              <w:gridCol w:w="3016"/>
              <w:gridCol w:w="28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类别</w:t>
                  </w:r>
                </w:p>
              </w:tc>
              <w:tc>
                <w:tcPr>
                  <w:tcW w:w="1800" w:type="dxa"/>
                  <w:gridSpan w:val="2"/>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建设名称</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设计能力</w:t>
                  </w:r>
                </w:p>
              </w:tc>
              <w:tc>
                <w:tcPr>
                  <w:tcW w:w="2804"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主体工程</w:t>
                  </w:r>
                </w:p>
              </w:tc>
              <w:tc>
                <w:tcPr>
                  <w:tcW w:w="1800" w:type="dxa"/>
                  <w:gridSpan w:val="2"/>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厂房一</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占地面积2220m</w:t>
                  </w:r>
                  <w:r>
                    <w:rPr>
                      <w:rFonts w:hint="eastAsia"/>
                      <w:sz w:val="18"/>
                      <w:szCs w:val="18"/>
                      <w:vertAlign w:val="superscript"/>
                      <w:lang w:val="en-US" w:eastAsia="zh-CN"/>
                    </w:rPr>
                    <w:t>2</w:t>
                  </w:r>
                  <w:r>
                    <w:rPr>
                      <w:rFonts w:hint="eastAsia"/>
                      <w:sz w:val="18"/>
                      <w:szCs w:val="18"/>
                      <w:lang w:val="en-US" w:eastAsia="zh-CN"/>
                    </w:rPr>
                    <w:t>，建筑面积2220m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default"/>
                      <w:sz w:val="18"/>
                      <w:szCs w:val="18"/>
                      <w:lang w:val="en-US" w:eastAsia="zh-CN"/>
                    </w:rPr>
                  </w:pPr>
                  <w:r>
                    <w:rPr>
                      <w:rFonts w:hint="default"/>
                      <w:sz w:val="18"/>
                      <w:szCs w:val="18"/>
                      <w:lang w:val="en-US" w:eastAsia="zh-CN"/>
                    </w:rPr>
                    <w:t>共一层，平缝、成检、灯检、整烫、总检、包装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厂房二</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占地面积1850m</w:t>
                  </w:r>
                  <w:r>
                    <w:rPr>
                      <w:rFonts w:hint="eastAsia"/>
                      <w:sz w:val="18"/>
                      <w:szCs w:val="18"/>
                      <w:vertAlign w:val="superscript"/>
                      <w:lang w:val="en-US" w:eastAsia="zh-CN"/>
                    </w:rPr>
                    <w:t>2</w:t>
                  </w:r>
                  <w:r>
                    <w:rPr>
                      <w:rFonts w:hint="eastAsia"/>
                      <w:sz w:val="18"/>
                      <w:szCs w:val="18"/>
                      <w:lang w:val="en-US" w:eastAsia="zh-CN"/>
                    </w:rPr>
                    <w:t>，建筑面积1850m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default"/>
                      <w:sz w:val="18"/>
                      <w:szCs w:val="18"/>
                      <w:lang w:val="en-US" w:eastAsia="zh-CN"/>
                    </w:rPr>
                  </w:pPr>
                  <w:r>
                    <w:rPr>
                      <w:rFonts w:hint="default"/>
                      <w:sz w:val="18"/>
                      <w:szCs w:val="18"/>
                      <w:lang w:val="en-US" w:eastAsia="zh-CN"/>
                    </w:rPr>
                    <w:t>共一层，织片、套口、手缝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倒毛车间</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占地面积130m</w:t>
                  </w:r>
                  <w:r>
                    <w:rPr>
                      <w:rFonts w:hint="eastAsia"/>
                      <w:sz w:val="18"/>
                      <w:szCs w:val="18"/>
                      <w:vertAlign w:val="superscript"/>
                      <w:lang w:val="en-US" w:eastAsia="zh-CN"/>
                    </w:rPr>
                    <w:t>2</w:t>
                  </w:r>
                  <w:r>
                    <w:rPr>
                      <w:rFonts w:hint="eastAsia"/>
                      <w:sz w:val="18"/>
                      <w:szCs w:val="18"/>
                      <w:lang w:val="en-US" w:eastAsia="zh-CN"/>
                    </w:rPr>
                    <w:t>，建筑面积130m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default"/>
                      <w:sz w:val="18"/>
                      <w:szCs w:val="18"/>
                      <w:lang w:val="en-US" w:eastAsia="zh-CN"/>
                    </w:rPr>
                  </w:pPr>
                  <w:r>
                    <w:rPr>
                      <w:rFonts w:hint="default"/>
                      <w:sz w:val="18"/>
                      <w:szCs w:val="18"/>
                      <w:lang w:val="en-US" w:eastAsia="zh-CN"/>
                    </w:rPr>
                    <w:t>共一层，倒毛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水洗车间一</w:t>
                  </w:r>
                </w:p>
              </w:tc>
              <w:tc>
                <w:tcPr>
                  <w:tcW w:w="3016"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占地面积165m</w:t>
                  </w:r>
                  <w:r>
                    <w:rPr>
                      <w:rFonts w:hint="eastAsia"/>
                      <w:sz w:val="18"/>
                      <w:szCs w:val="18"/>
                      <w:vertAlign w:val="superscript"/>
                      <w:lang w:val="en-US" w:eastAsia="zh-CN"/>
                    </w:rPr>
                    <w:t>2</w:t>
                  </w:r>
                  <w:r>
                    <w:rPr>
                      <w:rFonts w:hint="eastAsia"/>
                      <w:sz w:val="18"/>
                      <w:szCs w:val="18"/>
                      <w:lang w:val="en-US" w:eastAsia="zh-CN"/>
                    </w:rPr>
                    <w:t>，建筑面积165m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共一层，水洗柔软、脱水、烘干、助剂仓库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水洗车间二</w:t>
                  </w:r>
                </w:p>
              </w:tc>
              <w:tc>
                <w:tcPr>
                  <w:tcW w:w="3016"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占地面积300m</w:t>
                  </w:r>
                  <w:r>
                    <w:rPr>
                      <w:rFonts w:hint="eastAsia"/>
                      <w:sz w:val="18"/>
                      <w:szCs w:val="18"/>
                      <w:vertAlign w:val="superscript"/>
                      <w:lang w:val="en-US" w:eastAsia="zh-CN"/>
                    </w:rPr>
                    <w:t>2</w:t>
                  </w:r>
                  <w:r>
                    <w:rPr>
                      <w:rFonts w:hint="eastAsia"/>
                      <w:sz w:val="18"/>
                      <w:szCs w:val="18"/>
                      <w:lang w:val="en-US" w:eastAsia="zh-CN"/>
                    </w:rPr>
                    <w:t>，建筑面积600m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共二层，一层为水洗柔软、脱水、烘干二层为半成品仓库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贮运工程</w:t>
                  </w:r>
                </w:p>
              </w:tc>
              <w:tc>
                <w:tcPr>
                  <w:tcW w:w="1800" w:type="dxa"/>
                  <w:gridSpan w:val="2"/>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原料仓库一</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400m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原材料堆放区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原料仓库二</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240m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包装纸箱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助剂仓库</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22m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洗涤剂、柔软剂、固色剂、蓬松剂、位于水洗车间一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半成品仓库</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300m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位于水洗车间二、三层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成品仓库</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444m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公用工程</w:t>
                  </w: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给水</w:t>
                  </w:r>
                </w:p>
              </w:tc>
              <w:tc>
                <w:tcPr>
                  <w:tcW w:w="3016"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8133.5m</w:t>
                  </w:r>
                  <w:r>
                    <w:rPr>
                      <w:rFonts w:hint="eastAsia"/>
                      <w:color w:val="auto"/>
                      <w:sz w:val="18"/>
                      <w:szCs w:val="18"/>
                      <w:vertAlign w:val="superscript"/>
                      <w:lang w:val="en-US" w:eastAsia="zh-CN"/>
                    </w:rPr>
                    <w:t>3</w:t>
                  </w:r>
                  <w:r>
                    <w:rPr>
                      <w:rFonts w:hint="eastAsia"/>
                      <w:color w:val="auto"/>
                      <w:sz w:val="18"/>
                      <w:szCs w:val="18"/>
                      <w:lang w:val="en-US" w:eastAsia="zh-CN"/>
                    </w:rPr>
                    <w:t>t/a</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来自当地自来水管网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排水</w:t>
                  </w:r>
                </w:p>
              </w:tc>
              <w:tc>
                <w:tcPr>
                  <w:tcW w:w="3016" w:type="dxa"/>
                  <w:tcBorders>
                    <w:tl2br w:val="nil"/>
                    <w:tr2bl w:val="nil"/>
                  </w:tcBorders>
                  <w:vAlign w:val="center"/>
                </w:tcPr>
                <w:p>
                  <w:pPr>
                    <w:bidi w:val="0"/>
                    <w:jc w:val="center"/>
                    <w:rPr>
                      <w:rFonts w:hint="default"/>
                      <w:color w:val="auto"/>
                      <w:sz w:val="18"/>
                      <w:szCs w:val="18"/>
                      <w:lang w:val="en-US" w:eastAsia="zh-CN"/>
                    </w:rPr>
                  </w:pPr>
                  <w:r>
                    <w:rPr>
                      <w:rFonts w:hint="eastAsia"/>
                      <w:color w:val="auto"/>
                      <w:sz w:val="18"/>
                      <w:szCs w:val="18"/>
                      <w:lang w:val="en-US" w:eastAsia="zh-CN"/>
                    </w:rPr>
                    <w:t>8003.55m</w:t>
                  </w:r>
                  <w:r>
                    <w:rPr>
                      <w:rFonts w:hint="eastAsia"/>
                      <w:color w:val="auto"/>
                      <w:sz w:val="18"/>
                      <w:szCs w:val="18"/>
                      <w:vertAlign w:val="superscript"/>
                      <w:lang w:val="en-US" w:eastAsia="zh-CN"/>
                    </w:rPr>
                    <w:t>3</w:t>
                  </w:r>
                  <w:r>
                    <w:rPr>
                      <w:rFonts w:hint="eastAsia"/>
                      <w:color w:val="auto"/>
                      <w:sz w:val="18"/>
                      <w:szCs w:val="18"/>
                      <w:lang w:val="en-US" w:eastAsia="zh-CN"/>
                    </w:rPr>
                    <w:t>/a</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接管进入启东市城市污水处理厂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供电</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24万千瓦时/a</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接管当地电力供应部门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蒸汽</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3460t/a</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汽车运输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20"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环保工程</w:t>
                  </w:r>
                </w:p>
              </w:tc>
              <w:tc>
                <w:tcPr>
                  <w:tcW w:w="645" w:type="dxa"/>
                  <w:vMerge w:val="restart"/>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废水</w:t>
                  </w:r>
                </w:p>
              </w:tc>
              <w:tc>
                <w:tcPr>
                  <w:tcW w:w="11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生活污水</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化粪池、处理能力10m</w:t>
                  </w:r>
                  <w:r>
                    <w:rPr>
                      <w:rFonts w:hint="eastAsia"/>
                      <w:sz w:val="18"/>
                      <w:szCs w:val="18"/>
                      <w:vertAlign w:val="superscript"/>
                      <w:lang w:val="en-US" w:eastAsia="zh-CN"/>
                    </w:rPr>
                    <w:t>3</w:t>
                  </w:r>
                  <w:r>
                    <w:rPr>
                      <w:rFonts w:hint="eastAsia"/>
                      <w:sz w:val="18"/>
                      <w:szCs w:val="18"/>
                      <w:lang w:val="en-US" w:eastAsia="zh-CN"/>
                    </w:rPr>
                    <w:t>/d；隔油池，处理能力10m</w:t>
                  </w:r>
                  <w:r>
                    <w:rPr>
                      <w:rFonts w:hint="eastAsia"/>
                      <w:sz w:val="18"/>
                      <w:szCs w:val="18"/>
                      <w:vertAlign w:val="superscript"/>
                      <w:lang w:val="en-US" w:eastAsia="zh-CN"/>
                    </w:rPr>
                    <w:t>3</w:t>
                  </w:r>
                  <w:r>
                    <w:rPr>
                      <w:rFonts w:hint="eastAsia"/>
                      <w:sz w:val="18"/>
                      <w:szCs w:val="18"/>
                      <w:lang w:val="en-US" w:eastAsia="zh-CN"/>
                    </w:rPr>
                    <w:t>/d</w:t>
                  </w:r>
                </w:p>
              </w:tc>
              <w:tc>
                <w:tcPr>
                  <w:tcW w:w="2804" w:type="dxa"/>
                  <w:vMerge w:val="restart"/>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接管至启东市城市污水处理厂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645" w:type="dxa"/>
                  <w:vMerge w:val="continue"/>
                  <w:tcBorders>
                    <w:tl2br w:val="nil"/>
                    <w:tr2bl w:val="nil"/>
                  </w:tcBorders>
                  <w:vAlign w:val="center"/>
                </w:tcPr>
                <w:p>
                  <w:pPr>
                    <w:bidi w:val="0"/>
                    <w:jc w:val="center"/>
                    <w:rPr>
                      <w:rFonts w:hint="eastAsia"/>
                      <w:sz w:val="18"/>
                      <w:szCs w:val="18"/>
                      <w:lang w:val="en-US" w:eastAsia="zh-CN"/>
                    </w:rPr>
                  </w:pPr>
                </w:p>
              </w:tc>
              <w:tc>
                <w:tcPr>
                  <w:tcW w:w="11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生产废水</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废水处理设施，处理能力40m</w:t>
                  </w:r>
                  <w:r>
                    <w:rPr>
                      <w:rFonts w:hint="eastAsia"/>
                      <w:sz w:val="18"/>
                      <w:szCs w:val="18"/>
                      <w:vertAlign w:val="superscript"/>
                      <w:lang w:val="en-US" w:eastAsia="zh-CN"/>
                    </w:rPr>
                    <w:t>3</w:t>
                  </w:r>
                  <w:r>
                    <w:rPr>
                      <w:rFonts w:hint="eastAsia"/>
                      <w:sz w:val="18"/>
                      <w:szCs w:val="18"/>
                      <w:lang w:val="en-US" w:eastAsia="zh-CN"/>
                    </w:rPr>
                    <w:t>/d</w:t>
                  </w:r>
                </w:p>
              </w:tc>
              <w:tc>
                <w:tcPr>
                  <w:tcW w:w="2804" w:type="dxa"/>
                  <w:vMerge w:val="continue"/>
                  <w:tcBorders>
                    <w:tl2br w:val="nil"/>
                    <w:tr2bl w:val="nil"/>
                  </w:tcBorders>
                  <w:vAlign w:val="center"/>
                </w:tcPr>
                <w:p>
                  <w:pPr>
                    <w:bidi w:val="0"/>
                    <w:jc w:val="center"/>
                    <w:rPr>
                      <w:rFonts w:hint="eastAsia"/>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645" w:type="dxa"/>
                  <w:vMerge w:val="restart"/>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废气</w:t>
                  </w:r>
                </w:p>
              </w:tc>
              <w:tc>
                <w:tcPr>
                  <w:tcW w:w="11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油烟</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油烟净化装置，2000m</w:t>
                  </w:r>
                  <w:r>
                    <w:rPr>
                      <w:rFonts w:hint="eastAsia"/>
                      <w:sz w:val="18"/>
                      <w:szCs w:val="18"/>
                      <w:vertAlign w:val="superscript"/>
                      <w:lang w:val="en-US" w:eastAsia="zh-CN"/>
                    </w:rPr>
                    <w:t>3</w:t>
                  </w:r>
                  <w:r>
                    <w:rPr>
                      <w:rFonts w:hint="eastAsia"/>
                      <w:sz w:val="18"/>
                      <w:szCs w:val="18"/>
                      <w:lang w:val="en-US" w:eastAsia="zh-CN"/>
                    </w:rPr>
                    <w:t>/d</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645" w:type="dxa"/>
                  <w:vMerge w:val="continue"/>
                  <w:tcBorders>
                    <w:tl2br w:val="nil"/>
                    <w:tr2bl w:val="nil"/>
                  </w:tcBorders>
                  <w:vAlign w:val="center"/>
                </w:tcPr>
                <w:p>
                  <w:pPr>
                    <w:bidi w:val="0"/>
                    <w:jc w:val="center"/>
                    <w:rPr>
                      <w:rFonts w:hint="eastAsia"/>
                      <w:sz w:val="18"/>
                      <w:szCs w:val="18"/>
                      <w:lang w:val="en-US" w:eastAsia="zh-CN"/>
                    </w:rPr>
                  </w:pPr>
                </w:p>
              </w:tc>
              <w:tc>
                <w:tcPr>
                  <w:tcW w:w="11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烘干废气</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15m排气筒2根</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645" w:type="dxa"/>
                  <w:vMerge w:val="restart"/>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固废</w:t>
                  </w:r>
                </w:p>
              </w:tc>
              <w:tc>
                <w:tcPr>
                  <w:tcW w:w="11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一般固废暂存区</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10m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位于厂房一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645" w:type="dxa"/>
                  <w:vMerge w:val="continue"/>
                  <w:tcBorders>
                    <w:tl2br w:val="nil"/>
                    <w:tr2bl w:val="nil"/>
                  </w:tcBorders>
                  <w:vAlign w:val="center"/>
                </w:tcPr>
                <w:p>
                  <w:pPr>
                    <w:bidi w:val="0"/>
                    <w:jc w:val="center"/>
                    <w:rPr>
                      <w:rFonts w:hint="eastAsia"/>
                      <w:sz w:val="18"/>
                      <w:szCs w:val="18"/>
                      <w:lang w:val="en-US" w:eastAsia="zh-CN"/>
                    </w:rPr>
                  </w:pPr>
                </w:p>
              </w:tc>
              <w:tc>
                <w:tcPr>
                  <w:tcW w:w="11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危废仓库</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3.5m</w:t>
                  </w:r>
                  <w:r>
                    <w:rPr>
                      <w:rFonts w:hint="eastAsia"/>
                      <w:sz w:val="18"/>
                      <w:szCs w:val="18"/>
                      <w:vertAlign w:val="superscript"/>
                      <w:lang w:val="en-US" w:eastAsia="zh-CN"/>
                    </w:rPr>
                    <w:t>2</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位于水洗车间二、一层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0" w:type="dxa"/>
                  <w:vMerge w:val="continue"/>
                  <w:tcBorders>
                    <w:tl2br w:val="nil"/>
                    <w:tr2bl w:val="nil"/>
                  </w:tcBorders>
                  <w:vAlign w:val="center"/>
                </w:tcPr>
                <w:p>
                  <w:pPr>
                    <w:bidi w:val="0"/>
                    <w:jc w:val="center"/>
                    <w:rPr>
                      <w:rFonts w:hint="default"/>
                      <w:sz w:val="18"/>
                      <w:szCs w:val="18"/>
                      <w:lang w:val="en-US" w:eastAsia="zh-CN"/>
                    </w:rPr>
                  </w:pPr>
                </w:p>
              </w:tc>
              <w:tc>
                <w:tcPr>
                  <w:tcW w:w="64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噪声</w:t>
                  </w:r>
                </w:p>
              </w:tc>
              <w:tc>
                <w:tcPr>
                  <w:tcW w:w="1155"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噪声</w:t>
                  </w:r>
                </w:p>
              </w:tc>
              <w:tc>
                <w:tcPr>
                  <w:tcW w:w="3016"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建筑墙体隔声、安装减振底座、距离衰减等</w:t>
                  </w:r>
                </w:p>
              </w:tc>
              <w:tc>
                <w:tcPr>
                  <w:tcW w:w="2804"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0" w:type="dxa"/>
                  <w:vMerge w:val="restart"/>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环境风险</w:t>
                  </w: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初期雨水池</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110m</w:t>
                  </w:r>
                  <w:r>
                    <w:rPr>
                      <w:rFonts w:hint="eastAsia"/>
                      <w:sz w:val="18"/>
                      <w:szCs w:val="18"/>
                      <w:vertAlign w:val="superscript"/>
                      <w:lang w:val="en-US" w:eastAsia="zh-CN"/>
                    </w:rPr>
                    <w:t>3</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位于厂区南部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0" w:type="dxa"/>
                  <w:vMerge w:val="continue"/>
                  <w:tcBorders>
                    <w:tl2br w:val="nil"/>
                    <w:tr2bl w:val="nil"/>
                  </w:tcBorders>
                  <w:vAlign w:val="center"/>
                </w:tcPr>
                <w:p>
                  <w:pPr>
                    <w:bidi w:val="0"/>
                    <w:jc w:val="center"/>
                    <w:rPr>
                      <w:rFonts w:hint="eastAsia"/>
                      <w:sz w:val="18"/>
                      <w:szCs w:val="18"/>
                      <w:lang w:val="en-US" w:eastAsia="zh-CN"/>
                    </w:rPr>
                  </w:pPr>
                </w:p>
              </w:tc>
              <w:tc>
                <w:tcPr>
                  <w:tcW w:w="1800" w:type="dxa"/>
                  <w:gridSpan w:val="2"/>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事故应急池</w:t>
                  </w:r>
                </w:p>
              </w:tc>
              <w:tc>
                <w:tcPr>
                  <w:tcW w:w="3016" w:type="dxa"/>
                  <w:tcBorders>
                    <w:tl2br w:val="nil"/>
                    <w:tr2bl w:val="nil"/>
                  </w:tcBorders>
                  <w:vAlign w:val="center"/>
                </w:tcPr>
                <w:p>
                  <w:pPr>
                    <w:bidi w:val="0"/>
                    <w:jc w:val="center"/>
                    <w:rPr>
                      <w:rFonts w:hint="default"/>
                      <w:sz w:val="18"/>
                      <w:szCs w:val="18"/>
                      <w:lang w:val="en-US" w:eastAsia="zh-CN"/>
                    </w:rPr>
                  </w:pPr>
                  <w:r>
                    <w:rPr>
                      <w:rFonts w:hint="eastAsia"/>
                      <w:sz w:val="18"/>
                      <w:szCs w:val="18"/>
                      <w:lang w:val="en-US" w:eastAsia="zh-CN"/>
                    </w:rPr>
                    <w:t>250m</w:t>
                  </w:r>
                  <w:r>
                    <w:rPr>
                      <w:rFonts w:hint="eastAsia"/>
                      <w:sz w:val="18"/>
                      <w:szCs w:val="18"/>
                      <w:vertAlign w:val="superscript"/>
                      <w:lang w:val="en-US" w:eastAsia="zh-CN"/>
                    </w:rPr>
                    <w:t>3</w:t>
                  </w:r>
                </w:p>
              </w:tc>
              <w:tc>
                <w:tcPr>
                  <w:tcW w:w="2804" w:type="dxa"/>
                  <w:tcBorders>
                    <w:tl2br w:val="nil"/>
                    <w:tr2bl w:val="nil"/>
                  </w:tcBorders>
                  <w:vAlign w:val="center"/>
                </w:tcPr>
                <w:p>
                  <w:pPr>
                    <w:bidi w:val="0"/>
                    <w:jc w:val="center"/>
                    <w:rPr>
                      <w:rFonts w:hint="eastAsia"/>
                      <w:sz w:val="18"/>
                      <w:szCs w:val="18"/>
                      <w:lang w:val="en-US" w:eastAsia="zh-CN"/>
                    </w:rPr>
                  </w:pPr>
                  <w:r>
                    <w:rPr>
                      <w:rFonts w:hint="eastAsia"/>
                      <w:sz w:val="18"/>
                      <w:szCs w:val="18"/>
                      <w:lang w:val="en-US" w:eastAsia="zh-CN"/>
                    </w:rPr>
                    <w:t>位于厂区南部</w:t>
                  </w: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sz w:val="21"/>
                <w:szCs w:val="21"/>
                <w:lang w:eastAsia="zh-CN"/>
              </w:rPr>
            </w:pPr>
            <w:r>
              <w:rPr>
                <w:rFonts w:hint="eastAsia"/>
                <w:sz w:val="21"/>
                <w:szCs w:val="21"/>
              </w:rPr>
              <w:t>现有项目</w:t>
            </w:r>
            <w:r>
              <w:rPr>
                <w:rFonts w:hint="eastAsia"/>
                <w:sz w:val="21"/>
                <w:szCs w:val="21"/>
                <w:lang w:eastAsia="zh-CN"/>
              </w:rPr>
              <w:t>工艺流程：</w:t>
            </w:r>
          </w:p>
          <w:p>
            <w:pPr>
              <w:bidi w:val="0"/>
              <w:jc w:val="center"/>
              <w:rPr>
                <w:sz w:val="21"/>
                <w:szCs w:val="21"/>
              </w:rPr>
            </w:pPr>
            <w:r>
              <w:drawing>
                <wp:inline distT="0" distB="0" distL="114300" distR="114300">
                  <wp:extent cx="5269865" cy="1981200"/>
                  <wp:effectExtent l="0" t="0" r="6985" b="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1"/>
                          <a:stretch>
                            <a:fillRect/>
                          </a:stretch>
                        </pic:blipFill>
                        <pic:spPr>
                          <a:xfrm>
                            <a:off x="0" y="0"/>
                            <a:ext cx="5269865" cy="1981200"/>
                          </a:xfrm>
                          <a:prstGeom prst="rect">
                            <a:avLst/>
                          </a:prstGeom>
                          <a:noFill/>
                          <a:ln>
                            <a:noFill/>
                          </a:ln>
                        </pic:spPr>
                      </pic:pic>
                    </a:graphicData>
                  </a:graphic>
                </wp:inline>
              </w:drawing>
            </w:r>
          </w:p>
          <w:p>
            <w:pPr>
              <w:spacing w:line="500" w:lineRule="exact"/>
              <w:jc w:val="center"/>
              <w:rPr>
                <w:rFonts w:hint="eastAsia"/>
                <w:sz w:val="21"/>
                <w:szCs w:val="21"/>
                <w:lang w:val="en-US" w:eastAsia="zh-CN"/>
              </w:rPr>
            </w:pPr>
            <w:r>
              <w:rPr>
                <w:rFonts w:hint="default" w:ascii="Times New Roman" w:hAnsi="Times New Roman" w:eastAsia="宋体" w:cs="Times New Roman"/>
                <w:b/>
                <w:color w:val="auto"/>
                <w:lang w:val="en-US" w:eastAsia="zh-CN"/>
              </w:rPr>
              <w:t>图2-</w:t>
            </w:r>
            <w:r>
              <w:rPr>
                <w:rFonts w:hint="eastAsia" w:cs="Times New Roman"/>
                <w:b/>
                <w:color w:val="auto"/>
                <w:lang w:val="en-US" w:eastAsia="zh-CN"/>
              </w:rPr>
              <w:t xml:space="preserve">6 </w:t>
            </w:r>
            <w:r>
              <w:rPr>
                <w:rFonts w:hint="default" w:ascii="Times New Roman" w:hAnsi="Times New Roman" w:eastAsia="宋体" w:cs="Times New Roman"/>
                <w:b/>
                <w:color w:val="auto"/>
                <w:lang w:val="en-US" w:eastAsia="zh-CN"/>
              </w:rPr>
              <w:t>工艺流程及产污环节图</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（1）倒毛：根据客户需求，将羊毛纱线、棉、化纤纱线进行倒纱整理，将线卷绕成宝塔型筒子，检查是否有断头。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（2）织片：通过横机将纱线编织成针织品各部位的半成品。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（3）套口：将各部位分离的半成品通过套口车缝制成一个整体。</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（4）手缝：人工将部分套口无法缝制的地方进行手工缝合。</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5）水洗：为去除针织服装半成品所含的污垢，在手缝工序完成后，需向洗衣机内加入少量洗涤剂进行洗涤，水位以半成品完全浸透的低水位进行，水温为38~40℃，通过蒸汽管道间接加热，过水约15min，水洗完成后将机内水放出，该工序会产生W1水洗废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6）柔软：为提高产品柔软度、色牢度等性能，水洗后向洗衣机内加入少量固色剂、平滑剂、柔软剂、蓬松剂进行柔软等加工，水位以半成品完全浸透的低水位进行，水温为38~40℃，通过蒸汽管道间接加热，过水约15min，水洗完成后将半成品取出放入塑料盆内，该工序会产生W2柔软废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（7）脱水：人工将水洗好的半成品放入脱水机中，进行脱水，脱水机转速约1200r/min，脱水2~3min后取出，根据企业提供资料，脱水后针织服装半成品含水率约为50%，该工序会产生W3脱水废水。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（8）烘干：人工将水洗好的半成品加入烘干机中，利用蒸汽间接加热，加热温度约 80~98℃左右，加热时间约10~30min。烘干工序会产生水蒸气。烘干后进入下一道工序。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（9）平缝：利用平缝机对针织整体进行进一步缝合形成针织衫成品。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（10）成检：利用检针机对成品进行漏针检验，对漏针缺口进行人工缝补。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r>
              <w:rPr>
                <w:rFonts w:hint="eastAsia"/>
                <w:lang w:val="en-US" w:eastAsia="zh-CN"/>
              </w:rPr>
              <w:t>（</w:t>
            </w:r>
            <w:r>
              <w:rPr>
                <w:rFonts w:hint="default"/>
                <w:lang w:val="en-US" w:eastAsia="zh-CN"/>
              </w:rPr>
              <w:t>11</w:t>
            </w:r>
            <w:r>
              <w:rPr>
                <w:rFonts w:hint="eastAsia"/>
                <w:lang w:val="en-US" w:eastAsia="zh-CN"/>
              </w:rPr>
              <w:t>）灯检：人工将针织衫套在专用模具上，透过灯光对漏针缺口进行进一步检验，对漏针缺口进行人工缝补。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 xml:space="preserve">（12）整烫：人工使用蒸汽熨斗在吸风烫台上对衣服进行整烫定型，整烫温度为 </w:t>
            </w:r>
            <w:r>
              <w:rPr>
                <w:rFonts w:hint="default"/>
                <w:lang w:val="en-US" w:eastAsia="zh-CN"/>
              </w:rPr>
              <w:t>130</w:t>
            </w:r>
            <w:r>
              <w:rPr>
                <w:rFonts w:hint="eastAsia"/>
                <w:lang w:val="en-US" w:eastAsia="zh-CN"/>
              </w:rPr>
              <w:t>℃，使衣服平整且达到工艺所要求的尺寸。蒸汽由国信启东热电有限公司通过管道供应。</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r>
              <w:rPr>
                <w:rFonts w:hint="eastAsia"/>
                <w:lang w:val="en-US" w:eastAsia="zh-CN"/>
              </w:rPr>
              <w:t>（</w:t>
            </w:r>
            <w:r>
              <w:rPr>
                <w:rFonts w:hint="default"/>
                <w:lang w:val="en-US" w:eastAsia="zh-CN"/>
              </w:rPr>
              <w:t>13</w:t>
            </w:r>
            <w:r>
              <w:rPr>
                <w:rFonts w:hint="eastAsia"/>
                <w:lang w:val="en-US" w:eastAsia="zh-CN"/>
              </w:rPr>
              <w:t>）总检：产品出厂前的一次综合检验，内容包括外观质量（尺寸公差、外观疵点，物理指标（件重量、针圈密度）等。</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r>
              <w:rPr>
                <w:rFonts w:hint="eastAsia"/>
                <w:lang w:val="en-US" w:eastAsia="zh-CN"/>
              </w:rPr>
              <w:t>（</w:t>
            </w:r>
            <w:r>
              <w:rPr>
                <w:rFonts w:hint="default"/>
                <w:lang w:val="en-US" w:eastAsia="zh-CN"/>
              </w:rPr>
              <w:t>14</w:t>
            </w:r>
            <w:r>
              <w:rPr>
                <w:rFonts w:hint="eastAsia"/>
                <w:lang w:val="en-US" w:eastAsia="zh-CN"/>
              </w:rPr>
              <w:t>）包装：对检验合格产品进行包装入库。</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textAlignment w:val="auto"/>
              <w:rPr>
                <w:rFonts w:hint="eastAsia"/>
                <w:b/>
                <w:bCs/>
                <w:szCs w:val="21"/>
              </w:rPr>
            </w:pPr>
            <w:r>
              <w:rPr>
                <w:rFonts w:hint="eastAsia"/>
                <w:b/>
                <w:bCs/>
                <w:szCs w:val="21"/>
              </w:rPr>
              <w:t>现有项目污染物排放情况</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lang w:eastAsia="zh-CN"/>
              </w:rPr>
            </w:pPr>
            <w:r>
              <w:rPr>
                <w:rFonts w:hint="eastAsia"/>
                <w:lang w:eastAsia="zh-CN"/>
              </w:rPr>
              <w:t>现有污染物排放工序及污染物排放种类见下表</w: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b/>
                <w:bCs/>
                <w:lang w:val="en-US" w:eastAsia="zh-CN"/>
              </w:rPr>
            </w:pPr>
            <w:r>
              <w:rPr>
                <w:rFonts w:hint="eastAsia"/>
                <w:b/>
                <w:bCs/>
                <w:lang w:eastAsia="zh-CN"/>
              </w:rPr>
              <w:t>表</w:t>
            </w:r>
            <w:r>
              <w:rPr>
                <w:rFonts w:hint="eastAsia"/>
                <w:b/>
                <w:bCs/>
                <w:lang w:val="en-US" w:eastAsia="zh-CN"/>
              </w:rPr>
              <w:t>2-11 现有工程污染物排放情况一览表</w:t>
            </w:r>
          </w:p>
          <w:tbl>
            <w:tblPr>
              <w:tblStyle w:val="12"/>
              <w:tblW w:w="82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5"/>
              <w:gridCol w:w="2086"/>
              <w:gridCol w:w="1829"/>
              <w:gridCol w:w="17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污染物种类</w:t>
                  </w:r>
                </w:p>
              </w:tc>
              <w:tc>
                <w:tcPr>
                  <w:tcW w:w="1275"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产污节点</w:t>
                  </w:r>
                </w:p>
              </w:tc>
              <w:tc>
                <w:tcPr>
                  <w:tcW w:w="2086"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污染物</w:t>
                  </w:r>
                </w:p>
              </w:tc>
              <w:tc>
                <w:tcPr>
                  <w:tcW w:w="182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排放口</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71" w:type="dxa"/>
                  <w:vMerge w:val="restart"/>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废气</w:t>
                  </w:r>
                </w:p>
              </w:tc>
              <w:tc>
                <w:tcPr>
                  <w:tcW w:w="1275"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烘干</w:t>
                  </w:r>
                </w:p>
              </w:tc>
              <w:tc>
                <w:tcPr>
                  <w:tcW w:w="2086"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eastAsia="zh-CN"/>
                    </w:rPr>
                    <w:t>颗粒物、</w:t>
                  </w:r>
                  <w:r>
                    <w:rPr>
                      <w:rFonts w:hint="eastAsia"/>
                      <w:sz w:val="18"/>
                      <w:szCs w:val="18"/>
                      <w:vertAlign w:val="baseline"/>
                      <w:lang w:val="en-US" w:eastAsia="zh-CN"/>
                    </w:rPr>
                    <w:t>VOCs</w:t>
                  </w:r>
                </w:p>
              </w:tc>
              <w:tc>
                <w:tcPr>
                  <w:tcW w:w="1829"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1#排气筒、2#排气筒</w:t>
                  </w:r>
                </w:p>
              </w:tc>
              <w:tc>
                <w:tcPr>
                  <w:tcW w:w="1789"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1" w:type="dxa"/>
                  <w:vMerge w:val="continue"/>
                  <w:tcBorders>
                    <w:tl2br w:val="nil"/>
                    <w:tr2bl w:val="nil"/>
                  </w:tcBorders>
                  <w:vAlign w:val="center"/>
                </w:tcPr>
                <w:p>
                  <w:pPr>
                    <w:bidi w:val="0"/>
                    <w:jc w:val="center"/>
                    <w:rPr>
                      <w:rFonts w:hint="eastAsia"/>
                      <w:sz w:val="18"/>
                      <w:szCs w:val="18"/>
                      <w:vertAlign w:val="baseline"/>
                      <w:lang w:eastAsia="zh-CN"/>
                    </w:rPr>
                  </w:pPr>
                </w:p>
              </w:tc>
              <w:tc>
                <w:tcPr>
                  <w:tcW w:w="1275"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污水处理站</w:t>
                  </w:r>
                </w:p>
              </w:tc>
              <w:tc>
                <w:tcPr>
                  <w:tcW w:w="2086"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氨、硫化氢、臭气浓度</w:t>
                  </w:r>
                </w:p>
              </w:tc>
              <w:tc>
                <w:tcPr>
                  <w:tcW w:w="1829"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71" w:type="dxa"/>
                  <w:vMerge w:val="continue"/>
                  <w:tcBorders>
                    <w:tl2br w:val="nil"/>
                    <w:tr2bl w:val="nil"/>
                  </w:tcBorders>
                  <w:vAlign w:val="center"/>
                </w:tcPr>
                <w:p>
                  <w:pPr>
                    <w:bidi w:val="0"/>
                    <w:jc w:val="center"/>
                    <w:rPr>
                      <w:rFonts w:hint="eastAsia"/>
                      <w:sz w:val="18"/>
                      <w:szCs w:val="18"/>
                      <w:vertAlign w:val="baseline"/>
                      <w:lang w:eastAsia="zh-CN"/>
                    </w:rPr>
                  </w:pPr>
                </w:p>
              </w:tc>
              <w:tc>
                <w:tcPr>
                  <w:tcW w:w="1275"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食堂</w:t>
                  </w:r>
                </w:p>
              </w:tc>
              <w:tc>
                <w:tcPr>
                  <w:tcW w:w="2086"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油烟</w:t>
                  </w:r>
                </w:p>
              </w:tc>
              <w:tc>
                <w:tcPr>
                  <w:tcW w:w="1829"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油烟净化器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71" w:type="dxa"/>
                  <w:vMerge w:val="restart"/>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废水</w:t>
                  </w:r>
                </w:p>
              </w:tc>
              <w:tc>
                <w:tcPr>
                  <w:tcW w:w="1275"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生活污水</w:t>
                  </w:r>
                </w:p>
              </w:tc>
              <w:tc>
                <w:tcPr>
                  <w:tcW w:w="2086"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COD、SS、NH</w:t>
                  </w:r>
                  <w:r>
                    <w:rPr>
                      <w:rFonts w:hint="eastAsia"/>
                      <w:sz w:val="18"/>
                      <w:szCs w:val="18"/>
                      <w:vertAlign w:val="subscript"/>
                      <w:lang w:val="en-US" w:eastAsia="zh-CN"/>
                    </w:rPr>
                    <w:t>3</w:t>
                  </w:r>
                  <w:r>
                    <w:rPr>
                      <w:rFonts w:hint="eastAsia"/>
                      <w:sz w:val="18"/>
                      <w:szCs w:val="18"/>
                      <w:vertAlign w:val="baseline"/>
                      <w:lang w:val="en-US" w:eastAsia="zh-CN"/>
                    </w:rPr>
                    <w:t>-N、TP、TN、动植物油</w:t>
                  </w:r>
                </w:p>
              </w:tc>
              <w:tc>
                <w:tcPr>
                  <w:tcW w:w="1829" w:type="dxa"/>
                  <w:vMerge w:val="restart"/>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污水总排口</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化粪池、隔油池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71" w:type="dxa"/>
                  <w:vMerge w:val="continue"/>
                  <w:tcBorders>
                    <w:tl2br w:val="nil"/>
                    <w:tr2bl w:val="nil"/>
                  </w:tcBorders>
                  <w:vAlign w:val="center"/>
                </w:tcPr>
                <w:p>
                  <w:pPr>
                    <w:bidi w:val="0"/>
                    <w:jc w:val="center"/>
                    <w:rPr>
                      <w:rFonts w:hint="eastAsia"/>
                      <w:sz w:val="18"/>
                      <w:szCs w:val="18"/>
                      <w:vertAlign w:val="baseline"/>
                      <w:lang w:eastAsia="zh-CN"/>
                    </w:rPr>
                  </w:pPr>
                </w:p>
              </w:tc>
              <w:tc>
                <w:tcPr>
                  <w:tcW w:w="1275"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生产废水</w:t>
                  </w:r>
                </w:p>
              </w:tc>
              <w:tc>
                <w:tcPr>
                  <w:tcW w:w="2086"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COD、SS、NH</w:t>
                  </w:r>
                  <w:r>
                    <w:rPr>
                      <w:rFonts w:hint="eastAsia"/>
                      <w:sz w:val="18"/>
                      <w:szCs w:val="18"/>
                      <w:vertAlign w:val="subscript"/>
                      <w:lang w:val="en-US" w:eastAsia="zh-CN"/>
                    </w:rPr>
                    <w:t>3</w:t>
                  </w:r>
                  <w:r>
                    <w:rPr>
                      <w:rFonts w:hint="eastAsia"/>
                      <w:sz w:val="18"/>
                      <w:szCs w:val="18"/>
                      <w:vertAlign w:val="baseline"/>
                      <w:lang w:val="en-US" w:eastAsia="zh-CN"/>
                    </w:rPr>
                    <w:t>-N、TN、LAS、色度</w:t>
                  </w:r>
                </w:p>
              </w:tc>
              <w:tc>
                <w:tcPr>
                  <w:tcW w:w="1829" w:type="dxa"/>
                  <w:vMerge w:val="continue"/>
                  <w:tcBorders>
                    <w:tl2br w:val="nil"/>
                    <w:tr2bl w:val="nil"/>
                  </w:tcBorders>
                  <w:vAlign w:val="center"/>
                </w:tcPr>
                <w:p>
                  <w:pPr>
                    <w:bidi w:val="0"/>
                    <w:jc w:val="center"/>
                    <w:rPr>
                      <w:rFonts w:hint="eastAsia"/>
                      <w:sz w:val="18"/>
                      <w:szCs w:val="18"/>
                      <w:vertAlign w:val="baseline"/>
                      <w:lang w:val="en-US" w:eastAsia="zh-CN"/>
                    </w:rPr>
                  </w:pP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厂区污水处理站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71" w:type="dxa"/>
                  <w:vMerge w:val="continue"/>
                  <w:tcBorders>
                    <w:tl2br w:val="nil"/>
                    <w:tr2bl w:val="nil"/>
                  </w:tcBorders>
                  <w:vAlign w:val="center"/>
                </w:tcPr>
                <w:p>
                  <w:pPr>
                    <w:bidi w:val="0"/>
                    <w:jc w:val="center"/>
                    <w:rPr>
                      <w:rFonts w:hint="eastAsia"/>
                      <w:sz w:val="18"/>
                      <w:szCs w:val="18"/>
                      <w:vertAlign w:val="baseline"/>
                      <w:lang w:eastAsia="zh-CN"/>
                    </w:rPr>
                  </w:pPr>
                </w:p>
              </w:tc>
              <w:tc>
                <w:tcPr>
                  <w:tcW w:w="1275"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初期雨水</w:t>
                  </w:r>
                </w:p>
              </w:tc>
              <w:tc>
                <w:tcPr>
                  <w:tcW w:w="2086"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COD、SS</w:t>
                  </w:r>
                </w:p>
              </w:tc>
              <w:tc>
                <w:tcPr>
                  <w:tcW w:w="1829" w:type="dxa"/>
                  <w:vMerge w:val="continue"/>
                  <w:tcBorders>
                    <w:tl2br w:val="nil"/>
                    <w:tr2bl w:val="nil"/>
                  </w:tcBorders>
                  <w:vAlign w:val="center"/>
                </w:tcPr>
                <w:p>
                  <w:pPr>
                    <w:bidi w:val="0"/>
                    <w:jc w:val="center"/>
                    <w:rPr>
                      <w:rFonts w:hint="eastAsia"/>
                      <w:sz w:val="18"/>
                      <w:szCs w:val="18"/>
                      <w:vertAlign w:val="baseline"/>
                      <w:lang w:val="en-US" w:eastAsia="zh-CN"/>
                    </w:rPr>
                  </w:pP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初期雨水收集池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271" w:type="dxa"/>
                  <w:vMerge w:val="continue"/>
                  <w:tcBorders>
                    <w:tl2br w:val="nil"/>
                    <w:tr2bl w:val="nil"/>
                  </w:tcBorders>
                  <w:vAlign w:val="center"/>
                </w:tcPr>
                <w:p>
                  <w:pPr>
                    <w:bidi w:val="0"/>
                    <w:jc w:val="center"/>
                    <w:rPr>
                      <w:rFonts w:hint="eastAsia"/>
                      <w:sz w:val="18"/>
                      <w:szCs w:val="18"/>
                      <w:vertAlign w:val="baseline"/>
                      <w:lang w:eastAsia="zh-CN"/>
                    </w:rPr>
                  </w:pPr>
                </w:p>
              </w:tc>
              <w:tc>
                <w:tcPr>
                  <w:tcW w:w="1275"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蒸汽冷凝水</w:t>
                  </w:r>
                </w:p>
              </w:tc>
              <w:tc>
                <w:tcPr>
                  <w:tcW w:w="2086"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COD、SS</w:t>
                  </w:r>
                </w:p>
              </w:tc>
              <w:tc>
                <w:tcPr>
                  <w:tcW w:w="1829" w:type="dxa"/>
                  <w:tcBorders>
                    <w:tl2br w:val="nil"/>
                    <w:tr2bl w:val="nil"/>
                  </w:tcBorders>
                  <w:vAlign w:val="center"/>
                </w:tcPr>
                <w:p>
                  <w:pPr>
                    <w:bidi w:val="0"/>
                    <w:jc w:val="center"/>
                    <w:rPr>
                      <w:rFonts w:hint="default"/>
                      <w:sz w:val="18"/>
                      <w:szCs w:val="18"/>
                      <w:vertAlign w:val="baseline"/>
                      <w:lang w:val="en-US" w:eastAsia="zh-CN"/>
                    </w:rPr>
                  </w:pPr>
                  <w:r>
                    <w:rPr>
                      <w:rFonts w:hint="eastAsia"/>
                      <w:sz w:val="18"/>
                      <w:szCs w:val="18"/>
                      <w:vertAlign w:val="baseline"/>
                      <w:lang w:val="en-US" w:eastAsia="zh-CN"/>
                    </w:rPr>
                    <w:t>/</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回用于水洗工序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固废</w:t>
                  </w:r>
                </w:p>
              </w:tc>
              <w:tc>
                <w:tcPr>
                  <w:tcW w:w="1275" w:type="dxa"/>
                  <w:vMerge w:val="restart"/>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生产过程</w:t>
                  </w:r>
                </w:p>
              </w:tc>
              <w:tc>
                <w:tcPr>
                  <w:tcW w:w="2086"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废纱</w:t>
                  </w:r>
                </w:p>
              </w:tc>
              <w:tc>
                <w:tcPr>
                  <w:tcW w:w="1829"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收集外售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tl2br w:val="nil"/>
                    <w:tr2bl w:val="nil"/>
                  </w:tcBorders>
                  <w:vAlign w:val="center"/>
                </w:tcPr>
                <w:p>
                  <w:pPr>
                    <w:bidi w:val="0"/>
                    <w:jc w:val="center"/>
                    <w:rPr>
                      <w:rFonts w:hint="eastAsia"/>
                      <w:sz w:val="18"/>
                      <w:szCs w:val="18"/>
                      <w:vertAlign w:val="baseline"/>
                      <w:lang w:eastAsia="zh-CN"/>
                    </w:rPr>
                  </w:pPr>
                </w:p>
              </w:tc>
              <w:tc>
                <w:tcPr>
                  <w:tcW w:w="1275" w:type="dxa"/>
                  <w:vMerge w:val="continue"/>
                  <w:tcBorders>
                    <w:tl2br w:val="nil"/>
                    <w:tr2bl w:val="nil"/>
                  </w:tcBorders>
                  <w:vAlign w:val="center"/>
                </w:tcPr>
                <w:p>
                  <w:pPr>
                    <w:bidi w:val="0"/>
                    <w:jc w:val="center"/>
                    <w:rPr>
                      <w:rFonts w:hint="eastAsia"/>
                      <w:sz w:val="18"/>
                      <w:szCs w:val="18"/>
                      <w:vertAlign w:val="baseline"/>
                      <w:lang w:eastAsia="zh-CN"/>
                    </w:rPr>
                  </w:pPr>
                </w:p>
              </w:tc>
              <w:tc>
                <w:tcPr>
                  <w:tcW w:w="2086"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不合格品</w:t>
                  </w:r>
                </w:p>
              </w:tc>
              <w:tc>
                <w:tcPr>
                  <w:tcW w:w="1829"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收集外售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tl2br w:val="nil"/>
                    <w:tr2bl w:val="nil"/>
                  </w:tcBorders>
                  <w:vAlign w:val="center"/>
                </w:tcPr>
                <w:p>
                  <w:pPr>
                    <w:bidi w:val="0"/>
                    <w:jc w:val="center"/>
                    <w:rPr>
                      <w:rFonts w:hint="eastAsia"/>
                      <w:sz w:val="18"/>
                      <w:szCs w:val="18"/>
                      <w:vertAlign w:val="baseline"/>
                      <w:lang w:eastAsia="zh-CN"/>
                    </w:rPr>
                  </w:pPr>
                </w:p>
              </w:tc>
              <w:tc>
                <w:tcPr>
                  <w:tcW w:w="1275" w:type="dxa"/>
                  <w:vMerge w:val="continue"/>
                  <w:tcBorders>
                    <w:tl2br w:val="nil"/>
                    <w:tr2bl w:val="nil"/>
                  </w:tcBorders>
                  <w:vAlign w:val="center"/>
                </w:tcPr>
                <w:p>
                  <w:pPr>
                    <w:bidi w:val="0"/>
                    <w:jc w:val="center"/>
                    <w:rPr>
                      <w:rFonts w:hint="eastAsia"/>
                      <w:sz w:val="18"/>
                      <w:szCs w:val="18"/>
                      <w:vertAlign w:val="baseline"/>
                      <w:lang w:eastAsia="zh-CN"/>
                    </w:rPr>
                  </w:pPr>
                </w:p>
              </w:tc>
              <w:tc>
                <w:tcPr>
                  <w:tcW w:w="2086"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废包装</w:t>
                  </w:r>
                </w:p>
              </w:tc>
              <w:tc>
                <w:tcPr>
                  <w:tcW w:w="1829"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原料厂家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1" w:type="dxa"/>
                  <w:vMerge w:val="continue"/>
                  <w:tcBorders>
                    <w:tl2br w:val="nil"/>
                    <w:tr2bl w:val="nil"/>
                  </w:tcBorders>
                  <w:vAlign w:val="center"/>
                </w:tcPr>
                <w:p>
                  <w:pPr>
                    <w:bidi w:val="0"/>
                    <w:jc w:val="center"/>
                    <w:rPr>
                      <w:rFonts w:hint="eastAsia"/>
                      <w:sz w:val="18"/>
                      <w:szCs w:val="18"/>
                      <w:vertAlign w:val="baseline"/>
                      <w:lang w:eastAsia="zh-CN"/>
                    </w:rPr>
                  </w:pPr>
                </w:p>
              </w:tc>
              <w:tc>
                <w:tcPr>
                  <w:tcW w:w="1275" w:type="dxa"/>
                  <w:vMerge w:val="continue"/>
                  <w:tcBorders>
                    <w:tl2br w:val="nil"/>
                    <w:tr2bl w:val="nil"/>
                  </w:tcBorders>
                  <w:vAlign w:val="center"/>
                </w:tcPr>
                <w:p>
                  <w:pPr>
                    <w:bidi w:val="0"/>
                    <w:jc w:val="center"/>
                    <w:rPr>
                      <w:rFonts w:hint="eastAsia"/>
                      <w:sz w:val="18"/>
                      <w:szCs w:val="18"/>
                      <w:vertAlign w:val="baseline"/>
                      <w:lang w:eastAsia="zh-CN"/>
                    </w:rPr>
                  </w:pPr>
                </w:p>
              </w:tc>
              <w:tc>
                <w:tcPr>
                  <w:tcW w:w="2086"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污泥</w:t>
                  </w:r>
                </w:p>
              </w:tc>
              <w:tc>
                <w:tcPr>
                  <w:tcW w:w="1829"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污泥处理单位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271" w:type="dxa"/>
                  <w:vMerge w:val="continue"/>
                  <w:tcBorders>
                    <w:tl2br w:val="nil"/>
                    <w:tr2bl w:val="nil"/>
                  </w:tcBorders>
                  <w:vAlign w:val="center"/>
                </w:tcPr>
                <w:p>
                  <w:pPr>
                    <w:bidi w:val="0"/>
                    <w:jc w:val="center"/>
                    <w:rPr>
                      <w:rFonts w:hint="eastAsia"/>
                      <w:sz w:val="18"/>
                      <w:szCs w:val="18"/>
                      <w:vertAlign w:val="baseline"/>
                      <w:lang w:eastAsia="zh-CN"/>
                    </w:rPr>
                  </w:pPr>
                </w:p>
              </w:tc>
              <w:tc>
                <w:tcPr>
                  <w:tcW w:w="1275" w:type="dxa"/>
                  <w:vMerge w:val="continue"/>
                  <w:tcBorders>
                    <w:tl2br w:val="nil"/>
                    <w:tr2bl w:val="nil"/>
                  </w:tcBorders>
                  <w:vAlign w:val="center"/>
                </w:tcPr>
                <w:p>
                  <w:pPr>
                    <w:bidi w:val="0"/>
                    <w:jc w:val="center"/>
                    <w:rPr>
                      <w:rFonts w:hint="eastAsia"/>
                      <w:sz w:val="18"/>
                      <w:szCs w:val="18"/>
                      <w:vertAlign w:val="baseline"/>
                      <w:lang w:eastAsia="zh-CN"/>
                    </w:rPr>
                  </w:pPr>
                </w:p>
              </w:tc>
              <w:tc>
                <w:tcPr>
                  <w:tcW w:w="2086"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废机油</w:t>
                  </w:r>
                </w:p>
              </w:tc>
              <w:tc>
                <w:tcPr>
                  <w:tcW w:w="1829"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tl2br w:val="nil"/>
                    <w:tr2bl w:val="nil"/>
                  </w:tcBorders>
                  <w:vAlign w:val="center"/>
                </w:tcPr>
                <w:p>
                  <w:pPr>
                    <w:bidi w:val="0"/>
                    <w:jc w:val="center"/>
                    <w:rPr>
                      <w:rFonts w:hint="eastAsia"/>
                      <w:sz w:val="18"/>
                      <w:szCs w:val="18"/>
                      <w:vertAlign w:val="baseline"/>
                      <w:lang w:eastAsia="zh-CN"/>
                    </w:rPr>
                  </w:pPr>
                </w:p>
              </w:tc>
              <w:tc>
                <w:tcPr>
                  <w:tcW w:w="1275"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员工生活</w:t>
                  </w:r>
                </w:p>
              </w:tc>
              <w:tc>
                <w:tcPr>
                  <w:tcW w:w="2086"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生活垃圾</w:t>
                  </w:r>
                </w:p>
              </w:tc>
              <w:tc>
                <w:tcPr>
                  <w:tcW w:w="1829" w:type="dxa"/>
                  <w:tcBorders>
                    <w:tl2br w:val="nil"/>
                    <w:tr2bl w:val="nil"/>
                  </w:tcBorders>
                  <w:vAlign w:val="center"/>
                </w:tcPr>
                <w:p>
                  <w:pPr>
                    <w:bidi w:val="0"/>
                    <w:jc w:val="center"/>
                    <w:rPr>
                      <w:rFonts w:hint="eastAsia"/>
                      <w:sz w:val="18"/>
                      <w:szCs w:val="18"/>
                      <w:vertAlign w:val="baseline"/>
                      <w:lang w:val="en-US" w:eastAsia="zh-CN"/>
                    </w:rPr>
                  </w:pPr>
                  <w:r>
                    <w:rPr>
                      <w:rFonts w:hint="eastAsia"/>
                      <w:sz w:val="18"/>
                      <w:szCs w:val="18"/>
                      <w:vertAlign w:val="baseline"/>
                      <w:lang w:val="en-US" w:eastAsia="zh-CN"/>
                    </w:rPr>
                    <w:t>/</w:t>
                  </w:r>
                </w:p>
              </w:tc>
              <w:tc>
                <w:tcPr>
                  <w:tcW w:w="1789" w:type="dxa"/>
                  <w:tcBorders>
                    <w:tl2br w:val="nil"/>
                    <w:tr2bl w:val="nil"/>
                  </w:tcBorders>
                  <w:vAlign w:val="center"/>
                </w:tcPr>
                <w:p>
                  <w:pPr>
                    <w:bidi w:val="0"/>
                    <w:jc w:val="center"/>
                    <w:rPr>
                      <w:rFonts w:hint="eastAsia"/>
                      <w:sz w:val="18"/>
                      <w:szCs w:val="18"/>
                      <w:vertAlign w:val="baseline"/>
                      <w:lang w:eastAsia="zh-CN"/>
                    </w:rPr>
                  </w:pPr>
                  <w:r>
                    <w:rPr>
                      <w:rFonts w:hint="eastAsia"/>
                      <w:sz w:val="18"/>
                      <w:szCs w:val="18"/>
                      <w:vertAlign w:val="baseline"/>
                      <w:lang w:eastAsia="zh-CN"/>
                    </w:rPr>
                    <w:t>环卫清运</w:t>
                  </w:r>
                </w:p>
              </w:tc>
            </w:tr>
          </w:tbl>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420" w:firstLineChars="200"/>
              <w:textAlignment w:val="auto"/>
              <w:rPr>
                <w:rFonts w:hint="eastAsia"/>
                <w:sz w:val="21"/>
                <w:szCs w:val="21"/>
                <w:lang w:val="en-US" w:eastAsia="zh-CN"/>
              </w:rPr>
            </w:pPr>
            <w:r>
              <w:rPr>
                <w:rFonts w:hint="eastAsia"/>
                <w:sz w:val="21"/>
                <w:szCs w:val="21"/>
                <w:lang w:val="en-US" w:eastAsia="zh-CN"/>
              </w:rPr>
              <w:t>废气排放情况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b w:val="0"/>
                <w:bCs w:val="0"/>
                <w:szCs w:val="21"/>
                <w:lang w:val="en-US" w:eastAsia="zh-CN"/>
              </w:rPr>
            </w:pPr>
            <w:r>
              <w:rPr>
                <w:rFonts w:hint="eastAsia"/>
                <w:b w:val="0"/>
                <w:bCs w:val="0"/>
                <w:szCs w:val="21"/>
                <w:lang w:eastAsia="zh-CN"/>
              </w:rPr>
              <w:t>烘干过程产生的颗粒物无组织排放，产生量为</w:t>
            </w:r>
            <w:r>
              <w:rPr>
                <w:rFonts w:hint="eastAsia"/>
                <w:b w:val="0"/>
                <w:bCs w:val="0"/>
                <w:szCs w:val="21"/>
                <w:lang w:val="en-US" w:eastAsia="zh-CN"/>
              </w:rPr>
              <w:t>0.01t/a，VOC</w:t>
            </w:r>
            <w:r>
              <w:rPr>
                <w:rFonts w:hint="eastAsia"/>
                <w:b w:val="0"/>
                <w:bCs w:val="0"/>
                <w:szCs w:val="21"/>
                <w:vertAlign w:val="subscript"/>
                <w:lang w:val="en-US" w:eastAsia="zh-CN"/>
              </w:rPr>
              <w:t>S</w:t>
            </w:r>
            <w:r>
              <w:rPr>
                <w:rFonts w:hint="eastAsia"/>
                <w:b w:val="0"/>
                <w:bCs w:val="0"/>
                <w:szCs w:val="21"/>
                <w:lang w:val="en-US" w:eastAsia="zh-CN"/>
              </w:rPr>
              <w:t>产生量为0.01t/a。经两根15m高排气筒外排。则水洗车间一颗粒物、VOCs有组织排放量分别为0.0054t/a、0.0054t/a，水洗车间二颗粒物、VOCs有组织排放量分别为0.0036t/a、0.0036t/a。水洗车间一未收集的颗粒物量为0.0006t/a，VOCs量为0.0006t/a，水洗车间二未收集的颗粒物量为0.0004t/a，VOCs量为0.0004t/a。污水处理站产生的NH</w:t>
            </w:r>
            <w:r>
              <w:rPr>
                <w:rFonts w:hint="eastAsia"/>
                <w:b w:val="0"/>
                <w:bCs w:val="0"/>
                <w:szCs w:val="21"/>
                <w:vertAlign w:val="subscript"/>
                <w:lang w:val="en-US" w:eastAsia="zh-CN"/>
              </w:rPr>
              <w:t>3</w:t>
            </w:r>
            <w:r>
              <w:rPr>
                <w:rFonts w:hint="eastAsia"/>
                <w:b w:val="0"/>
                <w:bCs w:val="0"/>
                <w:szCs w:val="21"/>
                <w:lang w:val="en-US" w:eastAsia="zh-CN"/>
              </w:rPr>
              <w:t>和H</w:t>
            </w:r>
            <w:r>
              <w:rPr>
                <w:rFonts w:hint="eastAsia"/>
                <w:b w:val="0"/>
                <w:bCs w:val="0"/>
                <w:szCs w:val="21"/>
                <w:vertAlign w:val="subscript"/>
                <w:lang w:val="en-US" w:eastAsia="zh-CN"/>
              </w:rPr>
              <w:t>2</w:t>
            </w:r>
            <w:r>
              <w:rPr>
                <w:rFonts w:hint="eastAsia"/>
                <w:b w:val="0"/>
                <w:bCs w:val="0"/>
                <w:szCs w:val="21"/>
                <w:lang w:val="en-US" w:eastAsia="zh-CN"/>
              </w:rPr>
              <w:t>S分别为0.004t/a、0.0003t/a。烘干过程产生的颗粒物满足《大气污染物综合排放标准》（GB16297-1996）表 2 中标准，VOCs满足天津市《工业企业挥发性有机物排放控制标准》（DB12/524-2014）表2其他行业标准，无组织排放 VOCs 执行《挥发性有机物无组织排放控制标准》（GB37822-2019）表 A.1 特别排放限值要求；恶臭气体NH</w:t>
            </w:r>
            <w:r>
              <w:rPr>
                <w:rFonts w:hint="eastAsia"/>
                <w:b w:val="0"/>
                <w:bCs w:val="0"/>
                <w:szCs w:val="21"/>
                <w:vertAlign w:val="subscript"/>
                <w:lang w:val="en-US" w:eastAsia="zh-CN"/>
              </w:rPr>
              <w:t>3</w:t>
            </w:r>
            <w:r>
              <w:rPr>
                <w:rFonts w:hint="eastAsia"/>
                <w:b w:val="0"/>
                <w:bCs w:val="0"/>
                <w:szCs w:val="21"/>
                <w:lang w:val="en-US" w:eastAsia="zh-CN"/>
              </w:rPr>
              <w:t>、H</w:t>
            </w:r>
            <w:r>
              <w:rPr>
                <w:rFonts w:hint="eastAsia"/>
                <w:b w:val="0"/>
                <w:bCs w:val="0"/>
                <w:szCs w:val="21"/>
                <w:vertAlign w:val="subscript"/>
                <w:lang w:val="en-US" w:eastAsia="zh-CN"/>
              </w:rPr>
              <w:t>2</w:t>
            </w:r>
            <w:r>
              <w:rPr>
                <w:rFonts w:hint="eastAsia"/>
                <w:b w:val="0"/>
                <w:bCs w:val="0"/>
                <w:szCs w:val="21"/>
                <w:lang w:val="en-US" w:eastAsia="zh-CN"/>
              </w:rPr>
              <w:t>S 以及臭气浓度执行《恶臭污染物排放标准》（GB14554-93）中相关标准</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420" w:firstLineChars="200"/>
              <w:jc w:val="both"/>
              <w:textAlignment w:val="auto"/>
              <w:rPr>
                <w:rFonts w:hint="eastAsia"/>
                <w:b w:val="0"/>
                <w:bCs w:val="0"/>
                <w:szCs w:val="21"/>
                <w:lang w:eastAsia="zh-CN"/>
              </w:rPr>
            </w:pPr>
            <w:r>
              <w:rPr>
                <w:rFonts w:hint="eastAsia"/>
                <w:b w:val="0"/>
                <w:bCs w:val="0"/>
                <w:szCs w:val="21"/>
                <w:lang w:eastAsia="zh-CN"/>
              </w:rPr>
              <w:t>废水排放情况</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lang w:eastAsia="zh-CN"/>
              </w:rPr>
            </w:pPr>
            <w:r>
              <w:rPr>
                <w:rFonts w:hint="eastAsia"/>
                <w:b/>
                <w:bCs/>
                <w:lang w:eastAsia="zh-CN"/>
              </w:rPr>
              <w:t>表2-1</w:t>
            </w:r>
            <w:r>
              <w:rPr>
                <w:rFonts w:hint="eastAsia"/>
                <w:b/>
                <w:bCs/>
                <w:lang w:val="en-US" w:eastAsia="zh-CN"/>
              </w:rPr>
              <w:t>2</w:t>
            </w:r>
            <w:r>
              <w:rPr>
                <w:rFonts w:hint="eastAsia"/>
                <w:b/>
                <w:bCs/>
                <w:lang w:eastAsia="zh-CN"/>
              </w:rPr>
              <w:t xml:space="preserve"> 现有项目水污染物排放情况一览表</w:t>
            </w:r>
          </w:p>
          <w:tbl>
            <w:tblPr>
              <w:tblStyle w:val="12"/>
              <w:tblW w:w="830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357"/>
              <w:gridCol w:w="1965"/>
              <w:gridCol w:w="1661"/>
              <w:gridCol w:w="16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18"/>
                      <w:szCs w:val="18"/>
                      <w:vertAlign w:val="baseline"/>
                      <w:lang w:eastAsia="zh-CN"/>
                    </w:rPr>
                  </w:pPr>
                  <w:r>
                    <w:rPr>
                      <w:rFonts w:hint="eastAsia"/>
                      <w:sz w:val="18"/>
                      <w:szCs w:val="18"/>
                      <w:vertAlign w:val="baseline"/>
                      <w:lang w:eastAsia="zh-CN"/>
                    </w:rPr>
                    <w:t>废水来源</w:t>
                  </w:r>
                </w:p>
              </w:tc>
              <w:tc>
                <w:tcPr>
                  <w:tcW w:w="13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18"/>
                      <w:szCs w:val="18"/>
                      <w:vertAlign w:val="baseline"/>
                      <w:lang w:eastAsia="zh-CN"/>
                    </w:rPr>
                  </w:pPr>
                  <w:r>
                    <w:rPr>
                      <w:rFonts w:hint="eastAsia"/>
                      <w:sz w:val="18"/>
                      <w:szCs w:val="18"/>
                      <w:vertAlign w:val="baseline"/>
                      <w:lang w:eastAsia="zh-CN"/>
                    </w:rPr>
                    <w:t>废水量</w:t>
                  </w:r>
                </w:p>
              </w:tc>
              <w:tc>
                <w:tcPr>
                  <w:tcW w:w="528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r>
                    <w:rPr>
                      <w:rFonts w:hint="eastAsia"/>
                      <w:sz w:val="18"/>
                      <w:szCs w:val="18"/>
                      <w:vertAlign w:val="baseline"/>
                      <w:lang w:eastAsia="zh-CN"/>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3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18"/>
                      <w:szCs w:val="18"/>
                      <w:vertAlign w:val="baseline"/>
                      <w:lang w:eastAsia="zh-CN"/>
                    </w:rPr>
                  </w:pPr>
                  <w:r>
                    <w:rPr>
                      <w:rFonts w:hint="eastAsia"/>
                      <w:sz w:val="18"/>
                      <w:szCs w:val="18"/>
                      <w:vertAlign w:val="baseline"/>
                      <w:lang w:eastAsia="zh-CN"/>
                    </w:rPr>
                    <w:t>污染物名称</w:t>
                  </w:r>
                </w:p>
              </w:tc>
              <w:tc>
                <w:tcPr>
                  <w:tcW w:w="16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18"/>
                      <w:szCs w:val="18"/>
                      <w:vertAlign w:val="baseline"/>
                      <w:lang w:eastAsia="zh-CN"/>
                    </w:rPr>
                  </w:pPr>
                  <w:r>
                    <w:rPr>
                      <w:rFonts w:hint="eastAsia"/>
                      <w:sz w:val="18"/>
                      <w:szCs w:val="18"/>
                      <w:vertAlign w:val="baseline"/>
                      <w:lang w:eastAsia="zh-CN"/>
                    </w:rPr>
                    <w:t>浓度</w:t>
                  </w:r>
                </w:p>
              </w:tc>
              <w:tc>
                <w:tcPr>
                  <w:tcW w:w="1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18"/>
                      <w:szCs w:val="18"/>
                      <w:vertAlign w:val="baseline"/>
                      <w:lang w:eastAsia="zh-CN"/>
                    </w:rPr>
                  </w:pPr>
                  <w:r>
                    <w:rPr>
                      <w:rFonts w:hint="eastAsia"/>
                      <w:sz w:val="18"/>
                      <w:szCs w:val="18"/>
                      <w:vertAlign w:val="baseline"/>
                      <w:lang w:eastAsia="zh-CN"/>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18"/>
                      <w:szCs w:val="18"/>
                      <w:vertAlign w:val="baseline"/>
                      <w:lang w:eastAsia="zh-CN"/>
                    </w:rPr>
                  </w:pPr>
                  <w:r>
                    <w:rPr>
                      <w:rFonts w:hint="eastAsia"/>
                      <w:sz w:val="18"/>
                      <w:szCs w:val="18"/>
                      <w:vertAlign w:val="baseline"/>
                      <w:lang w:eastAsia="zh-CN"/>
                    </w:rPr>
                    <w:t>水洗废水、柔软废水、脱水废水、地面冲洗废水、生活污水、初期雨水</w:t>
                  </w:r>
                </w:p>
              </w:tc>
              <w:tc>
                <w:tcPr>
                  <w:tcW w:w="13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8003.55</w:t>
                  </w:r>
                </w:p>
              </w:tc>
              <w:tc>
                <w:tcPr>
                  <w:tcW w:w="1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18"/>
                      <w:szCs w:val="18"/>
                      <w:vertAlign w:val="baseline"/>
                      <w:lang w:eastAsia="zh-CN"/>
                    </w:rPr>
                  </w:pPr>
                  <w:r>
                    <w:rPr>
                      <w:rFonts w:hint="eastAsia"/>
                      <w:sz w:val="18"/>
                      <w:szCs w:val="18"/>
                      <w:vertAlign w:val="baseline"/>
                      <w:lang w:eastAsia="zh-CN"/>
                    </w:rPr>
                    <w:t>色度</w:t>
                  </w:r>
                </w:p>
              </w:tc>
              <w:tc>
                <w:tcPr>
                  <w:tcW w:w="16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70</w:t>
                  </w:r>
                </w:p>
              </w:tc>
              <w:tc>
                <w:tcPr>
                  <w:tcW w:w="1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18"/>
                      <w:szCs w:val="18"/>
                      <w:vertAlign w:val="baseline"/>
                      <w:lang w:val="en-US" w:eastAsia="zh-CN"/>
                    </w:rPr>
                  </w:pPr>
                  <w:r>
                    <w:rPr>
                      <w:rFonts w:hint="eastAsia"/>
                      <w:sz w:val="18"/>
                      <w:szCs w:val="18"/>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3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COD</w:t>
                  </w:r>
                </w:p>
              </w:tc>
              <w:tc>
                <w:tcPr>
                  <w:tcW w:w="16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186</w:t>
                  </w:r>
                </w:p>
              </w:tc>
              <w:tc>
                <w:tcPr>
                  <w:tcW w:w="1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3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SS</w:t>
                  </w:r>
                </w:p>
              </w:tc>
              <w:tc>
                <w:tcPr>
                  <w:tcW w:w="16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89</w:t>
                  </w:r>
                </w:p>
              </w:tc>
              <w:tc>
                <w:tcPr>
                  <w:tcW w:w="1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0.714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6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3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18"/>
                      <w:szCs w:val="18"/>
                      <w:vertAlign w:val="baseline"/>
                      <w:lang w:eastAsia="zh-CN"/>
                    </w:rPr>
                  </w:pPr>
                  <w:r>
                    <w:rPr>
                      <w:rFonts w:hint="eastAsia"/>
                      <w:sz w:val="18"/>
                      <w:szCs w:val="18"/>
                      <w:vertAlign w:val="baseline"/>
                      <w:lang w:eastAsia="zh-CN"/>
                    </w:rPr>
                    <w:t>氨氮</w:t>
                  </w:r>
                </w:p>
              </w:tc>
              <w:tc>
                <w:tcPr>
                  <w:tcW w:w="16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18</w:t>
                  </w:r>
                </w:p>
              </w:tc>
              <w:tc>
                <w:tcPr>
                  <w:tcW w:w="1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0.147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3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vertAlign w:val="baseline"/>
                      <w:lang w:val="en-US" w:eastAsia="zh-CN"/>
                    </w:rPr>
                  </w:pPr>
                  <w:r>
                    <w:rPr>
                      <w:rFonts w:hint="eastAsia"/>
                      <w:sz w:val="18"/>
                      <w:szCs w:val="18"/>
                      <w:vertAlign w:val="baseline"/>
                      <w:lang w:val="en-US" w:eastAsia="zh-CN"/>
                    </w:rPr>
                    <w:t>TN</w:t>
                  </w:r>
                </w:p>
              </w:tc>
              <w:tc>
                <w:tcPr>
                  <w:tcW w:w="16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25</w:t>
                  </w:r>
                </w:p>
              </w:tc>
              <w:tc>
                <w:tcPr>
                  <w:tcW w:w="1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3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vertAlign w:val="baseline"/>
                      <w:lang w:val="en-US" w:eastAsia="zh-CN"/>
                    </w:rPr>
                  </w:pPr>
                  <w:r>
                    <w:rPr>
                      <w:rFonts w:hint="eastAsia"/>
                      <w:sz w:val="18"/>
                      <w:szCs w:val="18"/>
                      <w:vertAlign w:val="baseline"/>
                      <w:lang w:val="en-US" w:eastAsia="zh-CN"/>
                    </w:rPr>
                    <w:t>LAS</w:t>
                  </w:r>
                </w:p>
              </w:tc>
              <w:tc>
                <w:tcPr>
                  <w:tcW w:w="16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10.9</w:t>
                  </w:r>
                </w:p>
              </w:tc>
              <w:tc>
                <w:tcPr>
                  <w:tcW w:w="1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0.087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3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lang w:eastAsia="zh-CN"/>
                    </w:rPr>
                  </w:pPr>
                  <w:r>
                    <w:rPr>
                      <w:rFonts w:hint="eastAsia"/>
                      <w:sz w:val="18"/>
                      <w:szCs w:val="18"/>
                      <w:vertAlign w:val="baseline"/>
                      <w:lang w:eastAsia="zh-CN"/>
                    </w:rPr>
                    <w:t>动植物油</w:t>
                  </w:r>
                </w:p>
              </w:tc>
              <w:tc>
                <w:tcPr>
                  <w:tcW w:w="16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0.12</w:t>
                  </w:r>
                </w:p>
              </w:tc>
              <w:tc>
                <w:tcPr>
                  <w:tcW w:w="1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3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vertAlign w:val="baseline"/>
                    </w:rPr>
                  </w:pPr>
                </w:p>
              </w:tc>
              <w:tc>
                <w:tcPr>
                  <w:tcW w:w="1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vertAlign w:val="baseline"/>
                      <w:lang w:val="en-US" w:eastAsia="zh-CN"/>
                    </w:rPr>
                  </w:pPr>
                  <w:r>
                    <w:rPr>
                      <w:rFonts w:hint="eastAsia"/>
                      <w:sz w:val="18"/>
                      <w:szCs w:val="18"/>
                      <w:vertAlign w:val="baseline"/>
                      <w:lang w:val="en-US" w:eastAsia="zh-CN"/>
                    </w:rPr>
                    <w:t>TP</w:t>
                  </w:r>
                </w:p>
              </w:tc>
              <w:tc>
                <w:tcPr>
                  <w:tcW w:w="16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0.25</w:t>
                  </w:r>
                </w:p>
              </w:tc>
              <w:tc>
                <w:tcPr>
                  <w:tcW w:w="1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0.002</w:t>
                  </w:r>
                </w:p>
              </w:tc>
            </w:tr>
          </w:tbl>
          <w:p>
            <w:pPr>
              <w:spacing w:line="360" w:lineRule="auto"/>
              <w:ind w:firstLine="420" w:firstLineChars="200"/>
              <w:jc w:val="left"/>
              <w:rPr>
                <w:rFonts w:hint="eastAsia"/>
                <w:lang w:eastAsia="zh-CN"/>
              </w:rPr>
            </w:pPr>
            <w:r>
              <w:rPr>
                <w:rFonts w:hint="eastAsia"/>
                <w:lang w:eastAsia="zh-CN"/>
              </w:rPr>
              <w:t>蒸汽冷凝水回用于水洗工序，</w:t>
            </w:r>
            <w:r>
              <w:rPr>
                <w:rFonts w:hint="eastAsia"/>
              </w:rPr>
              <w:t>接管口废水的排放浓度均满足</w:t>
            </w:r>
            <w:r>
              <w:rPr>
                <w:rFonts w:hint="eastAsia"/>
                <w:lang w:eastAsia="zh-CN"/>
              </w:rPr>
              <w:t>《纺织染整工业水污染物排放标准》（GB4287-2012）表2标准（间接排放）。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sz w:val="21"/>
                <w:szCs w:val="21"/>
                <w:lang w:val="en-US" w:eastAsia="zh-CN"/>
              </w:rPr>
            </w:pPr>
            <w:r>
              <w:rPr>
                <w:rFonts w:hint="eastAsia"/>
                <w:sz w:val="21"/>
                <w:szCs w:val="21"/>
                <w:lang w:val="en-US" w:eastAsia="zh-CN"/>
              </w:rPr>
              <w:t>（3）噪声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sz w:val="21"/>
                <w:szCs w:val="21"/>
                <w:lang w:val="en-US" w:eastAsia="zh-CN"/>
              </w:rPr>
            </w:pPr>
            <w:r>
              <w:rPr>
                <w:rFonts w:hint="eastAsia"/>
                <w:sz w:val="21"/>
                <w:szCs w:val="21"/>
                <w:lang w:val="en-US" w:eastAsia="zh-CN"/>
              </w:rPr>
              <w:t>项目主要噪声源为洗衣机、洗衣-脱水一体机、脱水机、烘干机等。在满足要求的前提下尽量选用转速低、噪声小的设备；减轻振动产生的噪声；对各类高噪声装备装消音器，减少室内噪声污染，改善工人作业环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sz w:val="21"/>
                <w:szCs w:val="21"/>
                <w:lang w:val="en-US" w:eastAsia="zh-CN"/>
              </w:rPr>
            </w:pPr>
            <w:r>
              <w:rPr>
                <w:rFonts w:hint="eastAsia"/>
                <w:b/>
                <w:bCs/>
                <w:szCs w:val="21"/>
              </w:rPr>
              <w:t>表2-</w:t>
            </w:r>
            <w:r>
              <w:rPr>
                <w:rFonts w:hint="eastAsia"/>
                <w:b/>
                <w:bCs/>
                <w:szCs w:val="21"/>
                <w:lang w:val="en-US" w:eastAsia="zh-CN"/>
              </w:rPr>
              <w:t>13</w:t>
            </w:r>
            <w:r>
              <w:rPr>
                <w:rFonts w:hint="eastAsia"/>
                <w:b/>
                <w:bCs/>
                <w:szCs w:val="21"/>
              </w:rPr>
              <w:t xml:space="preserve">  噪声监测数据结果</w:t>
            </w:r>
          </w:p>
          <w:tbl>
            <w:tblPr>
              <w:tblStyle w:val="12"/>
              <w:tblW w:w="817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168"/>
              <w:gridCol w:w="1168"/>
              <w:gridCol w:w="1168"/>
              <w:gridCol w:w="1168"/>
              <w:gridCol w:w="1168"/>
              <w:gridCol w:w="11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设备名称</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eastAsia="zh-CN"/>
                    </w:rPr>
                    <w:t>数量（台</w:t>
                  </w:r>
                  <w:r>
                    <w:rPr>
                      <w:rFonts w:hint="eastAsia"/>
                      <w:b w:val="0"/>
                      <w:bCs w:val="0"/>
                      <w:sz w:val="18"/>
                      <w:szCs w:val="18"/>
                      <w:vertAlign w:val="baseline"/>
                      <w:lang w:val="en-US" w:eastAsia="zh-CN"/>
                    </w:rPr>
                    <w:t>/套</w:t>
                  </w:r>
                  <w:r>
                    <w:rPr>
                      <w:rFonts w:hint="eastAsia"/>
                      <w:b w:val="0"/>
                      <w:bCs w:val="0"/>
                      <w:sz w:val="18"/>
                      <w:szCs w:val="18"/>
                      <w:vertAlign w:val="baseline"/>
                      <w:lang w:eastAsia="zh-CN"/>
                    </w:rPr>
                    <w:t>）</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声级值</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所在车间</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eastAsia="zh-CN"/>
                    </w:rPr>
                    <w:t>距厂界最近距离，</w:t>
                  </w:r>
                  <w:r>
                    <w:rPr>
                      <w:rFonts w:hint="eastAsia"/>
                      <w:b w:val="0"/>
                      <w:bCs w:val="0"/>
                      <w:sz w:val="18"/>
                      <w:szCs w:val="18"/>
                      <w:vertAlign w:val="baseline"/>
                      <w:lang w:val="en-US" w:eastAsia="zh-CN"/>
                    </w:rPr>
                    <w:t>m</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拟采取的治理措施</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降噪效果（</w:t>
                  </w:r>
                  <w:r>
                    <w:rPr>
                      <w:rFonts w:hint="eastAsia"/>
                      <w:b w:val="0"/>
                      <w:bCs w:val="0"/>
                      <w:sz w:val="18"/>
                      <w:szCs w:val="18"/>
                      <w:vertAlign w:val="baseline"/>
                      <w:lang w:val="en-US" w:eastAsia="zh-CN"/>
                    </w:rPr>
                    <w:t>dB（A）</w:t>
                  </w:r>
                  <w:r>
                    <w:rPr>
                      <w:rFonts w:hint="eastAsia"/>
                      <w:b w:val="0"/>
                      <w:bCs w:val="0"/>
                      <w:sz w:val="18"/>
                      <w:szCs w:val="18"/>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洗衣机</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val="en-US" w:eastAsia="zh-CN"/>
                    </w:rPr>
                  </w:pPr>
                  <w:r>
                    <w:rPr>
                      <w:rFonts w:hint="eastAsia"/>
                      <w:b w:val="0"/>
                      <w:bCs w:val="0"/>
                      <w:sz w:val="18"/>
                      <w:szCs w:val="18"/>
                      <w:vertAlign w:val="baseline"/>
                      <w:lang w:val="en-US" w:eastAsia="zh-CN"/>
                    </w:rPr>
                    <w:t>2</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85</w:t>
                  </w:r>
                </w:p>
              </w:tc>
              <w:tc>
                <w:tcPr>
                  <w:tcW w:w="116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水洗车间一</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S12</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减震、隔声</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脱水机</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val="en-US" w:eastAsia="zh-CN"/>
                    </w:rPr>
                  </w:pPr>
                  <w:r>
                    <w:rPr>
                      <w:rFonts w:hint="eastAsia"/>
                      <w:b w:val="0"/>
                      <w:bCs w:val="0"/>
                      <w:sz w:val="18"/>
                      <w:szCs w:val="18"/>
                      <w:vertAlign w:val="baseline"/>
                      <w:lang w:val="en-US" w:eastAsia="zh-CN"/>
                    </w:rPr>
                    <w:t>2</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85</w:t>
                  </w:r>
                </w:p>
              </w:tc>
              <w:tc>
                <w:tcPr>
                  <w:tcW w:w="116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18"/>
                      <w:szCs w:val="18"/>
                      <w:vertAlign w:val="baseline"/>
                    </w:rPr>
                  </w:pP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S7</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18"/>
                      <w:szCs w:val="18"/>
                      <w:vertAlign w:val="baseline"/>
                    </w:rPr>
                  </w:pPr>
                  <w:r>
                    <w:rPr>
                      <w:rFonts w:hint="eastAsia"/>
                      <w:b w:val="0"/>
                      <w:bCs w:val="0"/>
                      <w:sz w:val="18"/>
                      <w:szCs w:val="18"/>
                      <w:vertAlign w:val="baseline"/>
                      <w:lang w:eastAsia="zh-CN"/>
                    </w:rPr>
                    <w:t>减震、隔声</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烘干机</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val="en-US" w:eastAsia="zh-CN"/>
                    </w:rPr>
                  </w:pPr>
                  <w:r>
                    <w:rPr>
                      <w:rFonts w:hint="eastAsia"/>
                      <w:b w:val="0"/>
                      <w:bCs w:val="0"/>
                      <w:sz w:val="18"/>
                      <w:szCs w:val="18"/>
                      <w:vertAlign w:val="baseline"/>
                      <w:lang w:val="en-US" w:eastAsia="zh-CN"/>
                    </w:rPr>
                    <w:t>3</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80</w:t>
                  </w:r>
                </w:p>
              </w:tc>
              <w:tc>
                <w:tcPr>
                  <w:tcW w:w="116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18"/>
                      <w:szCs w:val="18"/>
                      <w:vertAlign w:val="baseline"/>
                    </w:rPr>
                  </w:pP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S7</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18"/>
                      <w:szCs w:val="18"/>
                      <w:vertAlign w:val="baseline"/>
                    </w:rPr>
                  </w:pPr>
                  <w:r>
                    <w:rPr>
                      <w:rFonts w:hint="eastAsia"/>
                      <w:b w:val="0"/>
                      <w:bCs w:val="0"/>
                      <w:sz w:val="18"/>
                      <w:szCs w:val="18"/>
                      <w:vertAlign w:val="baseline"/>
                      <w:lang w:eastAsia="zh-CN"/>
                    </w:rPr>
                    <w:t>减震、隔声</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eastAsia="zh-CN"/>
                    </w:rPr>
                    <w:t>洗衣</w:t>
                  </w:r>
                  <w:r>
                    <w:rPr>
                      <w:rFonts w:hint="eastAsia"/>
                      <w:b w:val="0"/>
                      <w:bCs w:val="0"/>
                      <w:sz w:val="18"/>
                      <w:szCs w:val="18"/>
                      <w:vertAlign w:val="baseline"/>
                      <w:lang w:val="en-US" w:eastAsia="zh-CN"/>
                    </w:rPr>
                    <w:t>-脱水-一体机</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val="en-US" w:eastAsia="zh-CN"/>
                    </w:rPr>
                  </w:pPr>
                  <w:r>
                    <w:rPr>
                      <w:rFonts w:hint="eastAsia"/>
                      <w:b w:val="0"/>
                      <w:bCs w:val="0"/>
                      <w:sz w:val="18"/>
                      <w:szCs w:val="18"/>
                      <w:vertAlign w:val="baseline"/>
                      <w:lang w:val="en-US" w:eastAsia="zh-CN"/>
                    </w:rPr>
                    <w:t>2</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85</w:t>
                  </w:r>
                </w:p>
              </w:tc>
              <w:tc>
                <w:tcPr>
                  <w:tcW w:w="116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水洗车间二</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S7</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18"/>
                      <w:szCs w:val="18"/>
                      <w:vertAlign w:val="baseline"/>
                    </w:rPr>
                  </w:pPr>
                  <w:r>
                    <w:rPr>
                      <w:rFonts w:hint="eastAsia"/>
                      <w:b w:val="0"/>
                      <w:bCs w:val="0"/>
                      <w:sz w:val="18"/>
                      <w:szCs w:val="18"/>
                      <w:vertAlign w:val="baseline"/>
                      <w:lang w:eastAsia="zh-CN"/>
                    </w:rPr>
                    <w:t>减震、隔声</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eastAsia="zh-CN"/>
                    </w:rPr>
                  </w:pPr>
                  <w:r>
                    <w:rPr>
                      <w:rFonts w:hint="eastAsia"/>
                      <w:b w:val="0"/>
                      <w:bCs w:val="0"/>
                      <w:sz w:val="18"/>
                      <w:szCs w:val="18"/>
                      <w:vertAlign w:val="baseline"/>
                      <w:lang w:eastAsia="zh-CN"/>
                    </w:rPr>
                    <w:t>烘干机</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18"/>
                      <w:szCs w:val="18"/>
                      <w:vertAlign w:val="baseline"/>
                      <w:lang w:val="en-US" w:eastAsia="zh-CN"/>
                    </w:rPr>
                  </w:pPr>
                  <w:r>
                    <w:rPr>
                      <w:rFonts w:hint="eastAsia"/>
                      <w:b w:val="0"/>
                      <w:bCs w:val="0"/>
                      <w:sz w:val="18"/>
                      <w:szCs w:val="18"/>
                      <w:vertAlign w:val="baseline"/>
                      <w:lang w:val="en-US" w:eastAsia="zh-CN"/>
                    </w:rPr>
                    <w:t>2</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80</w:t>
                  </w:r>
                </w:p>
              </w:tc>
              <w:tc>
                <w:tcPr>
                  <w:tcW w:w="116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18"/>
                      <w:szCs w:val="18"/>
                      <w:vertAlign w:val="baseline"/>
                    </w:rPr>
                  </w:pP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S7</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18"/>
                      <w:szCs w:val="18"/>
                      <w:vertAlign w:val="baseline"/>
                    </w:rPr>
                  </w:pPr>
                  <w:r>
                    <w:rPr>
                      <w:rFonts w:hint="eastAsia"/>
                      <w:b w:val="0"/>
                      <w:bCs w:val="0"/>
                      <w:sz w:val="18"/>
                      <w:szCs w:val="18"/>
                      <w:vertAlign w:val="baseline"/>
                      <w:lang w:eastAsia="zh-CN"/>
                    </w:rPr>
                    <w:t>减震、隔声</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28</w:t>
                  </w: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eastAsia="宋体"/>
                <w:b w:val="0"/>
                <w:bCs w:val="0"/>
                <w:lang w:val="en-US" w:eastAsia="zh-CN"/>
              </w:rPr>
            </w:pPr>
            <w:r>
              <w:rPr>
                <w:rFonts w:hint="eastAsia"/>
                <w:b w:val="0"/>
                <w:bCs w:val="0"/>
                <w:lang w:eastAsia="zh-CN"/>
              </w:rPr>
              <w:t>经减震、隔声后北侧厂界噪声排放执行《工业企业厂界环境噪声排放标准》（</w:t>
            </w:r>
            <w:r>
              <w:rPr>
                <w:rFonts w:hint="eastAsia"/>
                <w:b w:val="0"/>
                <w:bCs w:val="0"/>
                <w:lang w:val="en-US" w:eastAsia="zh-CN"/>
              </w:rPr>
              <w:t>GB12348-2008</w:t>
            </w:r>
            <w:r>
              <w:rPr>
                <w:rFonts w:hint="eastAsia"/>
                <w:b w:val="0"/>
                <w:bCs w:val="0"/>
                <w:lang w:eastAsia="zh-CN"/>
              </w:rPr>
              <w:t>）中</w:t>
            </w:r>
            <w:r>
              <w:rPr>
                <w:rFonts w:hint="eastAsia"/>
                <w:b w:val="0"/>
                <w:bCs w:val="0"/>
                <w:lang w:val="en-US" w:eastAsia="zh-CN"/>
              </w:rPr>
              <w:t>4类标准，其余厂界执行3类标准。</w:t>
            </w:r>
          </w:p>
          <w:p>
            <w:pPr>
              <w:spacing w:line="360" w:lineRule="auto"/>
              <w:ind w:firstLine="422" w:firstLineChars="200"/>
              <w:jc w:val="left"/>
              <w:rPr>
                <w:b/>
                <w:bCs/>
              </w:rPr>
            </w:pPr>
            <w:r>
              <w:rPr>
                <w:rFonts w:hint="eastAsia"/>
                <w:b/>
                <w:bCs/>
              </w:rPr>
              <w:t>（4）固废</w:t>
            </w:r>
          </w:p>
          <w:p>
            <w:pPr>
              <w:spacing w:line="360" w:lineRule="auto"/>
              <w:ind w:firstLine="420" w:firstLineChars="200"/>
              <w:rPr>
                <w:rFonts w:hint="eastAsia"/>
              </w:rPr>
            </w:pPr>
            <w:r>
              <w:rPr>
                <w:rFonts w:hint="eastAsia"/>
              </w:rPr>
              <w:t>现有项目产生的固体废物主要有</w:t>
            </w:r>
            <w:r>
              <w:rPr>
                <w:rFonts w:hint="eastAsia"/>
                <w:lang w:eastAsia="zh-CN"/>
              </w:rPr>
              <w:t>废纱、不合格品、污泥等</w:t>
            </w:r>
            <w:r>
              <w:rPr>
                <w:rFonts w:hint="eastAsia"/>
              </w:rPr>
              <w:t>和生活垃圾等，具体见下表。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Cs w:val="21"/>
              </w:rPr>
            </w:pPr>
            <w:r>
              <w:rPr>
                <w:rFonts w:hint="eastAsia"/>
                <w:b/>
                <w:bCs/>
                <w:szCs w:val="21"/>
              </w:rPr>
              <w:t>表 2-</w:t>
            </w:r>
            <w:r>
              <w:rPr>
                <w:rFonts w:hint="eastAsia"/>
                <w:b/>
                <w:bCs/>
                <w:szCs w:val="21"/>
                <w:lang w:val="en-US" w:eastAsia="zh-CN"/>
              </w:rPr>
              <w:t>14</w:t>
            </w:r>
            <w:r>
              <w:rPr>
                <w:rFonts w:hint="eastAsia"/>
                <w:b/>
                <w:bCs/>
                <w:szCs w:val="21"/>
              </w:rPr>
              <w:t xml:space="preserve"> 现有项目固体废物</w:t>
            </w:r>
            <w:r>
              <w:rPr>
                <w:rFonts w:hint="eastAsia"/>
                <w:b/>
                <w:bCs/>
                <w:color w:val="auto"/>
                <w:szCs w:val="21"/>
                <w:lang w:val="en-US" w:eastAsia="zh-CN"/>
              </w:rPr>
              <w:t>实际</w:t>
            </w:r>
            <w:r>
              <w:rPr>
                <w:rFonts w:hint="eastAsia"/>
                <w:b/>
                <w:bCs/>
                <w:color w:val="auto"/>
                <w:szCs w:val="21"/>
              </w:rPr>
              <w:t>产</w:t>
            </w:r>
            <w:r>
              <w:rPr>
                <w:rFonts w:hint="eastAsia"/>
                <w:b/>
                <w:bCs/>
                <w:szCs w:val="21"/>
              </w:rPr>
              <w:t>生、处置情况</w:t>
            </w:r>
          </w:p>
          <w:tbl>
            <w:tblPr>
              <w:tblStyle w:val="1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97"/>
              <w:gridCol w:w="1116"/>
              <w:gridCol w:w="1416"/>
              <w:gridCol w:w="1390"/>
              <w:gridCol w:w="20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03" w:type="pct"/>
                  <w:noWrap w:val="0"/>
                  <w:vAlign w:val="center"/>
                </w:tcPr>
                <w:p>
                  <w:pPr>
                    <w:jc w:val="center"/>
                    <w:rPr>
                      <w:rFonts w:hint="eastAsia"/>
                      <w:b/>
                      <w:bCs/>
                      <w:sz w:val="18"/>
                      <w:szCs w:val="18"/>
                    </w:rPr>
                  </w:pPr>
                  <w:r>
                    <w:rPr>
                      <w:rFonts w:hint="eastAsia"/>
                      <w:b/>
                      <w:bCs/>
                      <w:sz w:val="18"/>
                      <w:szCs w:val="18"/>
                    </w:rPr>
                    <w:t>序号</w:t>
                  </w:r>
                </w:p>
              </w:tc>
              <w:tc>
                <w:tcPr>
                  <w:tcW w:w="1022" w:type="pct"/>
                  <w:noWrap w:val="0"/>
                  <w:vAlign w:val="center"/>
                </w:tcPr>
                <w:p>
                  <w:pPr>
                    <w:jc w:val="center"/>
                    <w:rPr>
                      <w:rFonts w:hint="eastAsia"/>
                      <w:b/>
                      <w:bCs/>
                      <w:sz w:val="18"/>
                      <w:szCs w:val="18"/>
                    </w:rPr>
                  </w:pPr>
                  <w:r>
                    <w:rPr>
                      <w:rFonts w:hint="eastAsia"/>
                      <w:b/>
                      <w:bCs/>
                      <w:sz w:val="18"/>
                      <w:szCs w:val="18"/>
                    </w:rPr>
                    <w:t>固废名称</w:t>
                  </w:r>
                </w:p>
              </w:tc>
              <w:tc>
                <w:tcPr>
                  <w:tcW w:w="672" w:type="pct"/>
                  <w:noWrap w:val="0"/>
                  <w:vAlign w:val="center"/>
                </w:tcPr>
                <w:p>
                  <w:pPr>
                    <w:adjustRightInd w:val="0"/>
                    <w:snapToGrid w:val="0"/>
                    <w:jc w:val="center"/>
                    <w:rPr>
                      <w:b/>
                      <w:bCs/>
                      <w:sz w:val="18"/>
                      <w:szCs w:val="18"/>
                    </w:rPr>
                  </w:pPr>
                  <w:r>
                    <w:rPr>
                      <w:b/>
                      <w:bCs/>
                      <w:sz w:val="18"/>
                      <w:szCs w:val="18"/>
                    </w:rPr>
                    <w:t>属性</w:t>
                  </w:r>
                </w:p>
              </w:tc>
              <w:tc>
                <w:tcPr>
                  <w:tcW w:w="852" w:type="pct"/>
                  <w:noWrap w:val="0"/>
                  <w:vAlign w:val="center"/>
                </w:tcPr>
                <w:p>
                  <w:pPr>
                    <w:adjustRightInd w:val="0"/>
                    <w:snapToGrid w:val="0"/>
                    <w:jc w:val="center"/>
                    <w:rPr>
                      <w:b/>
                      <w:bCs/>
                      <w:sz w:val="18"/>
                      <w:szCs w:val="18"/>
                    </w:rPr>
                  </w:pPr>
                  <w:r>
                    <w:rPr>
                      <w:rFonts w:hint="eastAsia"/>
                      <w:b/>
                      <w:bCs/>
                      <w:sz w:val="18"/>
                      <w:szCs w:val="18"/>
                    </w:rPr>
                    <w:t>产生量(t/a)</w:t>
                  </w:r>
                </w:p>
              </w:tc>
              <w:tc>
                <w:tcPr>
                  <w:tcW w:w="837" w:type="pct"/>
                  <w:noWrap w:val="0"/>
                  <w:vAlign w:val="center"/>
                </w:tcPr>
                <w:p>
                  <w:pPr>
                    <w:adjustRightInd w:val="0"/>
                    <w:snapToGrid w:val="0"/>
                    <w:jc w:val="center"/>
                    <w:rPr>
                      <w:b/>
                      <w:bCs/>
                      <w:sz w:val="18"/>
                      <w:szCs w:val="18"/>
                    </w:rPr>
                  </w:pPr>
                  <w:r>
                    <w:rPr>
                      <w:rFonts w:hint="eastAsia"/>
                      <w:b/>
                      <w:bCs/>
                      <w:sz w:val="18"/>
                      <w:szCs w:val="18"/>
                    </w:rPr>
                    <w:t>处置</w:t>
                  </w:r>
                  <w:r>
                    <w:rPr>
                      <w:b/>
                      <w:bCs/>
                      <w:sz w:val="18"/>
                      <w:szCs w:val="18"/>
                    </w:rPr>
                    <w:t>量(t/a)</w:t>
                  </w:r>
                </w:p>
              </w:tc>
              <w:tc>
                <w:tcPr>
                  <w:tcW w:w="1212" w:type="pct"/>
                  <w:noWrap w:val="0"/>
                  <w:vAlign w:val="center"/>
                </w:tcPr>
                <w:p>
                  <w:pPr>
                    <w:adjustRightInd w:val="0"/>
                    <w:snapToGrid w:val="0"/>
                    <w:jc w:val="center"/>
                    <w:rPr>
                      <w:b/>
                      <w:bCs/>
                      <w:sz w:val="18"/>
                      <w:szCs w:val="18"/>
                    </w:rPr>
                  </w:pPr>
                  <w:r>
                    <w:rPr>
                      <w:rFonts w:hint="eastAsia"/>
                      <w:b/>
                      <w:bCs/>
                      <w:sz w:val="18"/>
                      <w:szCs w:val="18"/>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03" w:type="pct"/>
                  <w:noWrap w:val="0"/>
                  <w:vAlign w:val="center"/>
                </w:tcPr>
                <w:p>
                  <w:pPr>
                    <w:jc w:val="center"/>
                    <w:rPr>
                      <w:rFonts w:hint="eastAsia" w:eastAsia="宋体"/>
                      <w:b w:val="0"/>
                      <w:bCs w:val="0"/>
                      <w:i w:val="0"/>
                      <w:iCs w:val="0"/>
                      <w:sz w:val="18"/>
                      <w:szCs w:val="18"/>
                      <w:lang w:val="en-US" w:eastAsia="zh-CN"/>
                    </w:rPr>
                  </w:pPr>
                  <w:r>
                    <w:rPr>
                      <w:rFonts w:hint="eastAsia"/>
                      <w:b w:val="0"/>
                      <w:bCs w:val="0"/>
                      <w:i w:val="0"/>
                      <w:iCs w:val="0"/>
                      <w:sz w:val="18"/>
                      <w:szCs w:val="18"/>
                      <w:lang w:val="en-US" w:eastAsia="zh-CN"/>
                    </w:rPr>
                    <w:t>1</w:t>
                  </w:r>
                </w:p>
              </w:tc>
              <w:tc>
                <w:tcPr>
                  <w:tcW w:w="1022" w:type="pct"/>
                  <w:noWrap w:val="0"/>
                  <w:vAlign w:val="center"/>
                </w:tcPr>
                <w:p>
                  <w:pPr>
                    <w:jc w:val="center"/>
                    <w:rPr>
                      <w:rFonts w:hint="eastAsia" w:eastAsia="宋体"/>
                      <w:b w:val="0"/>
                      <w:bCs w:val="0"/>
                      <w:sz w:val="18"/>
                      <w:szCs w:val="18"/>
                      <w:lang w:eastAsia="zh-CN"/>
                    </w:rPr>
                  </w:pPr>
                  <w:r>
                    <w:rPr>
                      <w:rFonts w:hint="eastAsia"/>
                      <w:b w:val="0"/>
                      <w:bCs w:val="0"/>
                      <w:sz w:val="18"/>
                      <w:szCs w:val="18"/>
                      <w:lang w:eastAsia="zh-CN"/>
                    </w:rPr>
                    <w:t>废纱</w:t>
                  </w:r>
                </w:p>
              </w:tc>
              <w:tc>
                <w:tcPr>
                  <w:tcW w:w="672" w:type="pct"/>
                  <w:vMerge w:val="restart"/>
                  <w:noWrap w:val="0"/>
                  <w:vAlign w:val="center"/>
                </w:tcPr>
                <w:p>
                  <w:pPr>
                    <w:adjustRightInd w:val="0"/>
                    <w:snapToGrid w:val="0"/>
                    <w:jc w:val="center"/>
                    <w:rPr>
                      <w:rFonts w:hint="eastAsia" w:eastAsia="宋体"/>
                      <w:b/>
                      <w:bCs/>
                      <w:sz w:val="18"/>
                      <w:szCs w:val="18"/>
                      <w:lang w:eastAsia="zh-CN"/>
                    </w:rPr>
                  </w:pPr>
                  <w:r>
                    <w:rPr>
                      <w:rFonts w:hint="eastAsia"/>
                      <w:b w:val="0"/>
                      <w:bCs w:val="0"/>
                      <w:sz w:val="18"/>
                      <w:szCs w:val="18"/>
                      <w:lang w:eastAsia="zh-CN"/>
                    </w:rPr>
                    <w:t>一般固废</w:t>
                  </w:r>
                </w:p>
              </w:tc>
              <w:tc>
                <w:tcPr>
                  <w:tcW w:w="852" w:type="pct"/>
                  <w:noWrap w:val="0"/>
                  <w:vAlign w:val="center"/>
                </w:tcPr>
                <w:p>
                  <w:pPr>
                    <w:adjustRightInd w:val="0"/>
                    <w:snapToGrid w:val="0"/>
                    <w:jc w:val="center"/>
                    <w:rPr>
                      <w:rFonts w:hint="default" w:eastAsia="宋体"/>
                      <w:b w:val="0"/>
                      <w:bCs w:val="0"/>
                      <w:sz w:val="18"/>
                      <w:szCs w:val="18"/>
                      <w:lang w:val="en-US" w:eastAsia="zh-CN"/>
                    </w:rPr>
                  </w:pPr>
                  <w:r>
                    <w:rPr>
                      <w:rFonts w:hint="eastAsia"/>
                      <w:b w:val="0"/>
                      <w:bCs w:val="0"/>
                      <w:sz w:val="18"/>
                      <w:szCs w:val="18"/>
                      <w:lang w:val="en-US" w:eastAsia="zh-CN"/>
                    </w:rPr>
                    <w:t>2</w:t>
                  </w:r>
                </w:p>
              </w:tc>
              <w:tc>
                <w:tcPr>
                  <w:tcW w:w="837" w:type="pct"/>
                  <w:noWrap w:val="0"/>
                  <w:vAlign w:val="center"/>
                </w:tcPr>
                <w:p>
                  <w:pPr>
                    <w:adjustRightInd w:val="0"/>
                    <w:snapToGrid w:val="0"/>
                    <w:jc w:val="center"/>
                    <w:rPr>
                      <w:rFonts w:hint="eastAsia"/>
                      <w:b/>
                      <w:bCs/>
                      <w:sz w:val="18"/>
                      <w:szCs w:val="18"/>
                    </w:rPr>
                  </w:pPr>
                  <w:r>
                    <w:rPr>
                      <w:rFonts w:hint="eastAsia"/>
                      <w:b w:val="0"/>
                      <w:bCs w:val="0"/>
                      <w:sz w:val="18"/>
                      <w:szCs w:val="18"/>
                      <w:lang w:val="en-US" w:eastAsia="zh-CN"/>
                    </w:rPr>
                    <w:t>2</w:t>
                  </w:r>
                </w:p>
              </w:tc>
              <w:tc>
                <w:tcPr>
                  <w:tcW w:w="1212" w:type="pct"/>
                  <w:noWrap w:val="0"/>
                  <w:vAlign w:val="center"/>
                </w:tcPr>
                <w:p>
                  <w:pPr>
                    <w:adjustRightInd w:val="0"/>
                    <w:snapToGrid w:val="0"/>
                    <w:jc w:val="center"/>
                    <w:rPr>
                      <w:rFonts w:hint="eastAsia" w:eastAsia="宋体"/>
                      <w:b/>
                      <w:bCs/>
                      <w:sz w:val="18"/>
                      <w:szCs w:val="18"/>
                      <w:lang w:eastAsia="zh-CN"/>
                    </w:rPr>
                  </w:pPr>
                  <w:r>
                    <w:rPr>
                      <w:rFonts w:hint="eastAsia"/>
                      <w:b w:val="0"/>
                      <w:bCs w:val="0"/>
                      <w:sz w:val="18"/>
                      <w:szCs w:val="18"/>
                      <w:lang w:eastAsia="zh-CN"/>
                    </w:rPr>
                    <w:t>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3" w:type="pct"/>
                  <w:noWrap w:val="0"/>
                  <w:vAlign w:val="center"/>
                </w:tcPr>
                <w:p>
                  <w:pPr>
                    <w:jc w:val="center"/>
                    <w:rPr>
                      <w:rFonts w:hint="default"/>
                      <w:b w:val="0"/>
                      <w:bCs w:val="0"/>
                      <w:i w:val="0"/>
                      <w:iCs w:val="0"/>
                      <w:sz w:val="18"/>
                      <w:szCs w:val="18"/>
                      <w:lang w:val="en-US" w:eastAsia="zh-CN"/>
                    </w:rPr>
                  </w:pPr>
                  <w:r>
                    <w:rPr>
                      <w:rFonts w:hint="eastAsia"/>
                      <w:b w:val="0"/>
                      <w:bCs w:val="0"/>
                      <w:i w:val="0"/>
                      <w:iCs w:val="0"/>
                      <w:sz w:val="18"/>
                      <w:szCs w:val="18"/>
                      <w:lang w:val="en-US" w:eastAsia="zh-CN"/>
                    </w:rPr>
                    <w:t>2</w:t>
                  </w:r>
                </w:p>
              </w:tc>
              <w:tc>
                <w:tcPr>
                  <w:tcW w:w="1022" w:type="pct"/>
                  <w:noWrap w:val="0"/>
                  <w:vAlign w:val="center"/>
                </w:tcPr>
                <w:p>
                  <w:pPr>
                    <w:jc w:val="center"/>
                    <w:rPr>
                      <w:rFonts w:hint="eastAsia"/>
                      <w:b w:val="0"/>
                      <w:bCs w:val="0"/>
                      <w:sz w:val="18"/>
                      <w:szCs w:val="18"/>
                      <w:lang w:eastAsia="zh-CN"/>
                    </w:rPr>
                  </w:pPr>
                  <w:r>
                    <w:rPr>
                      <w:rFonts w:hint="eastAsia"/>
                      <w:b w:val="0"/>
                      <w:bCs w:val="0"/>
                      <w:sz w:val="18"/>
                      <w:szCs w:val="18"/>
                      <w:lang w:eastAsia="zh-CN"/>
                    </w:rPr>
                    <w:t>不合格品</w:t>
                  </w:r>
                </w:p>
              </w:tc>
              <w:tc>
                <w:tcPr>
                  <w:tcW w:w="672" w:type="pct"/>
                  <w:vMerge w:val="continue"/>
                  <w:noWrap w:val="0"/>
                  <w:vAlign w:val="center"/>
                </w:tcPr>
                <w:p>
                  <w:pPr>
                    <w:adjustRightInd w:val="0"/>
                    <w:snapToGrid w:val="0"/>
                    <w:jc w:val="center"/>
                    <w:rPr>
                      <w:b/>
                      <w:bCs/>
                      <w:sz w:val="18"/>
                      <w:szCs w:val="18"/>
                    </w:rPr>
                  </w:pPr>
                </w:p>
              </w:tc>
              <w:tc>
                <w:tcPr>
                  <w:tcW w:w="852" w:type="pct"/>
                  <w:noWrap w:val="0"/>
                  <w:vAlign w:val="center"/>
                </w:tcPr>
                <w:p>
                  <w:pPr>
                    <w:adjustRightInd w:val="0"/>
                    <w:snapToGrid w:val="0"/>
                    <w:jc w:val="center"/>
                    <w:rPr>
                      <w:rFonts w:hint="default" w:eastAsia="宋体"/>
                      <w:b w:val="0"/>
                      <w:bCs w:val="0"/>
                      <w:sz w:val="18"/>
                      <w:szCs w:val="18"/>
                      <w:lang w:val="en-US" w:eastAsia="zh-CN"/>
                    </w:rPr>
                  </w:pPr>
                  <w:r>
                    <w:rPr>
                      <w:rFonts w:hint="eastAsia"/>
                      <w:b w:val="0"/>
                      <w:bCs w:val="0"/>
                      <w:sz w:val="18"/>
                      <w:szCs w:val="18"/>
                      <w:lang w:val="en-US" w:eastAsia="zh-CN"/>
                    </w:rPr>
                    <w:t>1</w:t>
                  </w:r>
                </w:p>
              </w:tc>
              <w:tc>
                <w:tcPr>
                  <w:tcW w:w="837" w:type="pct"/>
                  <w:noWrap w:val="0"/>
                  <w:vAlign w:val="center"/>
                </w:tcPr>
                <w:p>
                  <w:pPr>
                    <w:adjustRightInd w:val="0"/>
                    <w:snapToGrid w:val="0"/>
                    <w:jc w:val="center"/>
                    <w:rPr>
                      <w:rFonts w:hint="eastAsia"/>
                      <w:b/>
                      <w:bCs/>
                      <w:sz w:val="18"/>
                      <w:szCs w:val="18"/>
                    </w:rPr>
                  </w:pPr>
                  <w:r>
                    <w:rPr>
                      <w:rFonts w:hint="eastAsia"/>
                      <w:b w:val="0"/>
                      <w:bCs w:val="0"/>
                      <w:sz w:val="18"/>
                      <w:szCs w:val="18"/>
                      <w:lang w:val="en-US" w:eastAsia="zh-CN"/>
                    </w:rPr>
                    <w:t>1</w:t>
                  </w:r>
                </w:p>
              </w:tc>
              <w:tc>
                <w:tcPr>
                  <w:tcW w:w="1212" w:type="pct"/>
                  <w:noWrap w:val="0"/>
                  <w:vAlign w:val="center"/>
                </w:tcPr>
                <w:p>
                  <w:pPr>
                    <w:adjustRightInd w:val="0"/>
                    <w:snapToGrid w:val="0"/>
                    <w:jc w:val="center"/>
                    <w:rPr>
                      <w:rFonts w:hint="eastAsia"/>
                      <w:b/>
                      <w:bCs/>
                      <w:sz w:val="18"/>
                      <w:szCs w:val="18"/>
                    </w:rPr>
                  </w:pPr>
                  <w:r>
                    <w:rPr>
                      <w:rFonts w:hint="eastAsia"/>
                      <w:b w:val="0"/>
                      <w:bCs w:val="0"/>
                      <w:sz w:val="18"/>
                      <w:szCs w:val="18"/>
                      <w:lang w:eastAsia="zh-CN"/>
                    </w:rPr>
                    <w:t>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noWrap w:val="0"/>
                  <w:vAlign w:val="center"/>
                </w:tcPr>
                <w:p>
                  <w:pPr>
                    <w:jc w:val="center"/>
                    <w:rPr>
                      <w:rFonts w:hint="default"/>
                      <w:b w:val="0"/>
                      <w:bCs w:val="0"/>
                      <w:i w:val="0"/>
                      <w:iCs w:val="0"/>
                      <w:sz w:val="18"/>
                      <w:szCs w:val="18"/>
                      <w:lang w:val="en-US" w:eastAsia="zh-CN"/>
                    </w:rPr>
                  </w:pPr>
                  <w:r>
                    <w:rPr>
                      <w:rFonts w:hint="eastAsia"/>
                      <w:b w:val="0"/>
                      <w:bCs w:val="0"/>
                      <w:i w:val="0"/>
                      <w:iCs w:val="0"/>
                      <w:sz w:val="18"/>
                      <w:szCs w:val="18"/>
                      <w:lang w:val="en-US" w:eastAsia="zh-CN"/>
                    </w:rPr>
                    <w:t>3</w:t>
                  </w:r>
                </w:p>
              </w:tc>
              <w:tc>
                <w:tcPr>
                  <w:tcW w:w="1022" w:type="pct"/>
                  <w:noWrap w:val="0"/>
                  <w:vAlign w:val="center"/>
                </w:tcPr>
                <w:p>
                  <w:pPr>
                    <w:jc w:val="center"/>
                    <w:rPr>
                      <w:rFonts w:hint="eastAsia"/>
                      <w:b w:val="0"/>
                      <w:bCs w:val="0"/>
                      <w:sz w:val="18"/>
                      <w:szCs w:val="18"/>
                      <w:lang w:eastAsia="zh-CN"/>
                    </w:rPr>
                  </w:pPr>
                  <w:r>
                    <w:rPr>
                      <w:rFonts w:hint="eastAsia"/>
                      <w:b w:val="0"/>
                      <w:bCs w:val="0"/>
                      <w:sz w:val="18"/>
                      <w:szCs w:val="18"/>
                      <w:lang w:eastAsia="zh-CN"/>
                    </w:rPr>
                    <w:t>废包装桶</w:t>
                  </w:r>
                </w:p>
              </w:tc>
              <w:tc>
                <w:tcPr>
                  <w:tcW w:w="672" w:type="pct"/>
                  <w:vMerge w:val="restart"/>
                  <w:noWrap w:val="0"/>
                  <w:vAlign w:val="center"/>
                </w:tcPr>
                <w:p>
                  <w:pPr>
                    <w:adjustRightInd w:val="0"/>
                    <w:snapToGrid w:val="0"/>
                    <w:jc w:val="center"/>
                    <w:rPr>
                      <w:rFonts w:hint="eastAsia" w:eastAsia="宋体"/>
                      <w:b/>
                      <w:bCs/>
                      <w:sz w:val="18"/>
                      <w:szCs w:val="18"/>
                      <w:lang w:eastAsia="zh-CN"/>
                    </w:rPr>
                  </w:pPr>
                  <w:r>
                    <w:rPr>
                      <w:rFonts w:hint="eastAsia"/>
                      <w:b w:val="0"/>
                      <w:bCs w:val="0"/>
                      <w:sz w:val="18"/>
                      <w:szCs w:val="18"/>
                      <w:lang w:eastAsia="zh-CN"/>
                    </w:rPr>
                    <w:t>危废</w:t>
                  </w:r>
                </w:p>
              </w:tc>
              <w:tc>
                <w:tcPr>
                  <w:tcW w:w="852" w:type="pct"/>
                  <w:noWrap w:val="0"/>
                  <w:vAlign w:val="center"/>
                </w:tcPr>
                <w:p>
                  <w:pPr>
                    <w:adjustRightInd w:val="0"/>
                    <w:snapToGrid w:val="0"/>
                    <w:jc w:val="center"/>
                    <w:rPr>
                      <w:rFonts w:hint="default"/>
                      <w:b w:val="0"/>
                      <w:bCs w:val="0"/>
                      <w:sz w:val="18"/>
                      <w:szCs w:val="18"/>
                      <w:lang w:val="en-US" w:eastAsia="zh-CN"/>
                    </w:rPr>
                  </w:pPr>
                  <w:r>
                    <w:rPr>
                      <w:rFonts w:hint="eastAsia"/>
                      <w:b w:val="0"/>
                      <w:bCs w:val="0"/>
                      <w:sz w:val="18"/>
                      <w:szCs w:val="18"/>
                      <w:lang w:val="en-US" w:eastAsia="zh-CN"/>
                    </w:rPr>
                    <w:t>0.9</w:t>
                  </w:r>
                </w:p>
              </w:tc>
              <w:tc>
                <w:tcPr>
                  <w:tcW w:w="837" w:type="pct"/>
                  <w:noWrap w:val="0"/>
                  <w:vAlign w:val="center"/>
                </w:tcPr>
                <w:p>
                  <w:pPr>
                    <w:adjustRightInd w:val="0"/>
                    <w:snapToGrid w:val="0"/>
                    <w:jc w:val="center"/>
                    <w:rPr>
                      <w:rFonts w:hint="default"/>
                      <w:b w:val="0"/>
                      <w:bCs w:val="0"/>
                      <w:sz w:val="18"/>
                      <w:szCs w:val="18"/>
                      <w:lang w:val="en-US" w:eastAsia="zh-CN"/>
                    </w:rPr>
                  </w:pPr>
                  <w:r>
                    <w:rPr>
                      <w:rFonts w:hint="eastAsia"/>
                      <w:b w:val="0"/>
                      <w:bCs w:val="0"/>
                      <w:sz w:val="18"/>
                      <w:szCs w:val="18"/>
                      <w:lang w:val="en-US" w:eastAsia="zh-CN"/>
                    </w:rPr>
                    <w:t>0.9</w:t>
                  </w:r>
                </w:p>
              </w:tc>
              <w:tc>
                <w:tcPr>
                  <w:tcW w:w="1212" w:type="pct"/>
                  <w:vMerge w:val="restart"/>
                  <w:noWrap w:val="0"/>
                  <w:vAlign w:val="center"/>
                </w:tcPr>
                <w:p>
                  <w:pPr>
                    <w:adjustRightInd w:val="0"/>
                    <w:snapToGrid w:val="0"/>
                    <w:jc w:val="center"/>
                    <w:rPr>
                      <w:rFonts w:hint="eastAsia" w:eastAsia="宋体"/>
                      <w:b/>
                      <w:bCs/>
                      <w:sz w:val="18"/>
                      <w:szCs w:val="18"/>
                      <w:lang w:eastAsia="zh-CN"/>
                    </w:rPr>
                  </w:pPr>
                  <w:r>
                    <w:rPr>
                      <w:rFonts w:hint="eastAsia"/>
                      <w:b w:val="0"/>
                      <w:bCs w:val="0"/>
                      <w:sz w:val="18"/>
                      <w:szCs w:val="18"/>
                      <w:lang w:eastAsia="zh-CN"/>
                    </w:rPr>
                    <w:t>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03" w:type="pct"/>
                  <w:noWrap w:val="0"/>
                  <w:vAlign w:val="center"/>
                </w:tcPr>
                <w:p>
                  <w:pPr>
                    <w:jc w:val="center"/>
                    <w:rPr>
                      <w:rFonts w:hint="default"/>
                      <w:b w:val="0"/>
                      <w:bCs w:val="0"/>
                      <w:i w:val="0"/>
                      <w:iCs w:val="0"/>
                      <w:sz w:val="18"/>
                      <w:szCs w:val="18"/>
                      <w:lang w:val="en-US" w:eastAsia="zh-CN"/>
                    </w:rPr>
                  </w:pPr>
                  <w:r>
                    <w:rPr>
                      <w:rFonts w:hint="eastAsia"/>
                      <w:b w:val="0"/>
                      <w:bCs w:val="0"/>
                      <w:i w:val="0"/>
                      <w:iCs w:val="0"/>
                      <w:sz w:val="18"/>
                      <w:szCs w:val="18"/>
                      <w:lang w:val="en-US" w:eastAsia="zh-CN"/>
                    </w:rPr>
                    <w:t>4</w:t>
                  </w:r>
                </w:p>
              </w:tc>
              <w:tc>
                <w:tcPr>
                  <w:tcW w:w="1022" w:type="pct"/>
                  <w:noWrap w:val="0"/>
                  <w:vAlign w:val="center"/>
                </w:tcPr>
                <w:p>
                  <w:pPr>
                    <w:jc w:val="center"/>
                    <w:rPr>
                      <w:rFonts w:hint="eastAsia"/>
                      <w:b w:val="0"/>
                      <w:bCs w:val="0"/>
                      <w:sz w:val="18"/>
                      <w:szCs w:val="18"/>
                      <w:lang w:eastAsia="zh-CN"/>
                    </w:rPr>
                  </w:pPr>
                  <w:r>
                    <w:rPr>
                      <w:rFonts w:hint="eastAsia"/>
                      <w:b w:val="0"/>
                      <w:bCs w:val="0"/>
                      <w:sz w:val="18"/>
                      <w:szCs w:val="18"/>
                      <w:lang w:eastAsia="zh-CN"/>
                    </w:rPr>
                    <w:t>水处理污泥</w:t>
                  </w:r>
                </w:p>
              </w:tc>
              <w:tc>
                <w:tcPr>
                  <w:tcW w:w="672" w:type="pct"/>
                  <w:vMerge w:val="continue"/>
                  <w:noWrap w:val="0"/>
                  <w:vAlign w:val="center"/>
                </w:tcPr>
                <w:p>
                  <w:pPr>
                    <w:adjustRightInd w:val="0"/>
                    <w:snapToGrid w:val="0"/>
                    <w:jc w:val="center"/>
                    <w:rPr>
                      <w:b/>
                      <w:bCs/>
                      <w:sz w:val="18"/>
                      <w:szCs w:val="18"/>
                    </w:rPr>
                  </w:pPr>
                </w:p>
              </w:tc>
              <w:tc>
                <w:tcPr>
                  <w:tcW w:w="852" w:type="pct"/>
                  <w:noWrap w:val="0"/>
                  <w:vAlign w:val="center"/>
                </w:tcPr>
                <w:p>
                  <w:pPr>
                    <w:adjustRightInd w:val="0"/>
                    <w:snapToGrid w:val="0"/>
                    <w:jc w:val="center"/>
                    <w:rPr>
                      <w:rFonts w:hint="default"/>
                      <w:b w:val="0"/>
                      <w:bCs w:val="0"/>
                      <w:sz w:val="18"/>
                      <w:szCs w:val="18"/>
                      <w:lang w:val="en-US" w:eastAsia="zh-CN"/>
                    </w:rPr>
                  </w:pPr>
                  <w:r>
                    <w:rPr>
                      <w:rFonts w:hint="eastAsia"/>
                      <w:b w:val="0"/>
                      <w:bCs w:val="0"/>
                      <w:sz w:val="18"/>
                      <w:szCs w:val="18"/>
                      <w:lang w:val="en-US" w:eastAsia="zh-CN"/>
                    </w:rPr>
                    <w:t>12.3</w:t>
                  </w:r>
                </w:p>
              </w:tc>
              <w:tc>
                <w:tcPr>
                  <w:tcW w:w="837" w:type="pct"/>
                  <w:noWrap w:val="0"/>
                  <w:vAlign w:val="center"/>
                </w:tcPr>
                <w:p>
                  <w:pPr>
                    <w:adjustRightInd w:val="0"/>
                    <w:snapToGrid w:val="0"/>
                    <w:jc w:val="center"/>
                    <w:rPr>
                      <w:rFonts w:hint="default"/>
                      <w:b w:val="0"/>
                      <w:bCs w:val="0"/>
                      <w:sz w:val="18"/>
                      <w:szCs w:val="18"/>
                      <w:lang w:val="en-US" w:eastAsia="zh-CN"/>
                    </w:rPr>
                  </w:pPr>
                  <w:r>
                    <w:rPr>
                      <w:rFonts w:hint="eastAsia"/>
                      <w:b w:val="0"/>
                      <w:bCs w:val="0"/>
                      <w:sz w:val="18"/>
                      <w:szCs w:val="18"/>
                      <w:lang w:val="en-US" w:eastAsia="zh-CN"/>
                    </w:rPr>
                    <w:t>12.3</w:t>
                  </w:r>
                </w:p>
              </w:tc>
              <w:tc>
                <w:tcPr>
                  <w:tcW w:w="1212" w:type="pct"/>
                  <w:vMerge w:val="continue"/>
                  <w:noWrap w:val="0"/>
                  <w:vAlign w:val="center"/>
                </w:tcPr>
                <w:p>
                  <w:pPr>
                    <w:adjustRightInd w:val="0"/>
                    <w:snapToGrid w:val="0"/>
                    <w:jc w:val="center"/>
                    <w:rPr>
                      <w:rFonts w:hint="eastAsia"/>
                      <w:b/>
                      <w:bCs/>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03" w:type="pct"/>
                  <w:noWrap w:val="0"/>
                  <w:vAlign w:val="center"/>
                </w:tcPr>
                <w:p>
                  <w:pPr>
                    <w:jc w:val="center"/>
                    <w:rPr>
                      <w:rFonts w:hint="default"/>
                      <w:b w:val="0"/>
                      <w:bCs w:val="0"/>
                      <w:i w:val="0"/>
                      <w:iCs w:val="0"/>
                      <w:sz w:val="18"/>
                      <w:szCs w:val="18"/>
                      <w:lang w:val="en-US" w:eastAsia="zh-CN"/>
                    </w:rPr>
                  </w:pPr>
                  <w:r>
                    <w:rPr>
                      <w:rFonts w:hint="eastAsia"/>
                      <w:b w:val="0"/>
                      <w:bCs w:val="0"/>
                      <w:i w:val="0"/>
                      <w:iCs w:val="0"/>
                      <w:sz w:val="18"/>
                      <w:szCs w:val="18"/>
                      <w:lang w:val="en-US" w:eastAsia="zh-CN"/>
                    </w:rPr>
                    <w:t>5</w:t>
                  </w:r>
                </w:p>
              </w:tc>
              <w:tc>
                <w:tcPr>
                  <w:tcW w:w="1022" w:type="pct"/>
                  <w:noWrap w:val="0"/>
                  <w:vAlign w:val="center"/>
                </w:tcPr>
                <w:p>
                  <w:pPr>
                    <w:jc w:val="center"/>
                    <w:rPr>
                      <w:rFonts w:hint="eastAsia"/>
                      <w:b w:val="0"/>
                      <w:bCs w:val="0"/>
                      <w:sz w:val="18"/>
                      <w:szCs w:val="18"/>
                      <w:lang w:eastAsia="zh-CN"/>
                    </w:rPr>
                  </w:pPr>
                  <w:r>
                    <w:rPr>
                      <w:rFonts w:hint="eastAsia"/>
                      <w:b w:val="0"/>
                      <w:bCs w:val="0"/>
                      <w:sz w:val="18"/>
                      <w:szCs w:val="18"/>
                      <w:lang w:eastAsia="zh-CN"/>
                    </w:rPr>
                    <w:t>废机油</w:t>
                  </w:r>
                </w:p>
              </w:tc>
              <w:tc>
                <w:tcPr>
                  <w:tcW w:w="672" w:type="pct"/>
                  <w:vMerge w:val="continue"/>
                  <w:noWrap w:val="0"/>
                  <w:vAlign w:val="center"/>
                </w:tcPr>
                <w:p>
                  <w:pPr>
                    <w:adjustRightInd w:val="0"/>
                    <w:snapToGrid w:val="0"/>
                    <w:jc w:val="center"/>
                    <w:rPr>
                      <w:b/>
                      <w:bCs/>
                      <w:sz w:val="18"/>
                      <w:szCs w:val="18"/>
                    </w:rPr>
                  </w:pPr>
                </w:p>
              </w:tc>
              <w:tc>
                <w:tcPr>
                  <w:tcW w:w="852" w:type="pct"/>
                  <w:noWrap w:val="0"/>
                  <w:vAlign w:val="center"/>
                </w:tcPr>
                <w:p>
                  <w:pPr>
                    <w:adjustRightInd w:val="0"/>
                    <w:snapToGrid w:val="0"/>
                    <w:jc w:val="center"/>
                    <w:rPr>
                      <w:rFonts w:hint="default"/>
                      <w:b w:val="0"/>
                      <w:bCs w:val="0"/>
                      <w:sz w:val="18"/>
                      <w:szCs w:val="18"/>
                      <w:lang w:val="en-US" w:eastAsia="zh-CN"/>
                    </w:rPr>
                  </w:pPr>
                  <w:r>
                    <w:rPr>
                      <w:rFonts w:hint="eastAsia"/>
                      <w:b w:val="0"/>
                      <w:bCs w:val="0"/>
                      <w:sz w:val="18"/>
                      <w:szCs w:val="18"/>
                      <w:lang w:val="en-US" w:eastAsia="zh-CN"/>
                    </w:rPr>
                    <w:t>0.01</w:t>
                  </w:r>
                </w:p>
              </w:tc>
              <w:tc>
                <w:tcPr>
                  <w:tcW w:w="837" w:type="pct"/>
                  <w:noWrap w:val="0"/>
                  <w:vAlign w:val="center"/>
                </w:tcPr>
                <w:p>
                  <w:pPr>
                    <w:adjustRightInd w:val="0"/>
                    <w:snapToGrid w:val="0"/>
                    <w:jc w:val="center"/>
                    <w:rPr>
                      <w:rFonts w:hint="default"/>
                      <w:b w:val="0"/>
                      <w:bCs w:val="0"/>
                      <w:sz w:val="18"/>
                      <w:szCs w:val="18"/>
                      <w:lang w:val="en-US" w:eastAsia="zh-CN"/>
                    </w:rPr>
                  </w:pPr>
                  <w:r>
                    <w:rPr>
                      <w:rFonts w:hint="eastAsia"/>
                      <w:b w:val="0"/>
                      <w:bCs w:val="0"/>
                      <w:sz w:val="18"/>
                      <w:szCs w:val="18"/>
                      <w:lang w:val="en-US" w:eastAsia="zh-CN"/>
                    </w:rPr>
                    <w:t>0.01</w:t>
                  </w:r>
                </w:p>
              </w:tc>
              <w:tc>
                <w:tcPr>
                  <w:tcW w:w="1212" w:type="pct"/>
                  <w:vMerge w:val="continue"/>
                  <w:noWrap w:val="0"/>
                  <w:vAlign w:val="center"/>
                </w:tcPr>
                <w:p>
                  <w:pPr>
                    <w:adjustRightInd w:val="0"/>
                    <w:snapToGrid w:val="0"/>
                    <w:jc w:val="center"/>
                    <w:rPr>
                      <w:rFonts w:hint="eastAsia"/>
                      <w:b/>
                      <w:bCs/>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noWrap w:val="0"/>
                  <w:vAlign w:val="center"/>
                </w:tcPr>
                <w:p>
                  <w:pPr>
                    <w:jc w:val="center"/>
                    <w:rPr>
                      <w:rFonts w:hint="default"/>
                      <w:b w:val="0"/>
                      <w:bCs w:val="0"/>
                      <w:i w:val="0"/>
                      <w:iCs w:val="0"/>
                      <w:sz w:val="18"/>
                      <w:szCs w:val="18"/>
                      <w:lang w:val="en-US" w:eastAsia="zh-CN"/>
                    </w:rPr>
                  </w:pPr>
                  <w:r>
                    <w:rPr>
                      <w:rFonts w:hint="eastAsia"/>
                      <w:b w:val="0"/>
                      <w:bCs w:val="0"/>
                      <w:i w:val="0"/>
                      <w:iCs w:val="0"/>
                      <w:sz w:val="18"/>
                      <w:szCs w:val="18"/>
                      <w:lang w:val="en-US" w:eastAsia="zh-CN"/>
                    </w:rPr>
                    <w:t>6</w:t>
                  </w:r>
                </w:p>
              </w:tc>
              <w:tc>
                <w:tcPr>
                  <w:tcW w:w="1022" w:type="pct"/>
                  <w:noWrap w:val="0"/>
                  <w:vAlign w:val="center"/>
                </w:tcPr>
                <w:p>
                  <w:pPr>
                    <w:jc w:val="center"/>
                    <w:rPr>
                      <w:rFonts w:hint="eastAsia"/>
                      <w:b w:val="0"/>
                      <w:bCs w:val="0"/>
                      <w:sz w:val="18"/>
                      <w:szCs w:val="18"/>
                      <w:lang w:eastAsia="zh-CN"/>
                    </w:rPr>
                  </w:pPr>
                  <w:r>
                    <w:rPr>
                      <w:rFonts w:hint="eastAsia"/>
                      <w:b w:val="0"/>
                      <w:bCs w:val="0"/>
                      <w:sz w:val="18"/>
                      <w:szCs w:val="18"/>
                      <w:lang w:eastAsia="zh-CN"/>
                    </w:rPr>
                    <w:t>生活垃圾</w:t>
                  </w:r>
                </w:p>
              </w:tc>
              <w:tc>
                <w:tcPr>
                  <w:tcW w:w="672" w:type="pct"/>
                  <w:noWrap w:val="0"/>
                  <w:vAlign w:val="center"/>
                </w:tcPr>
                <w:p>
                  <w:pPr>
                    <w:adjustRightInd w:val="0"/>
                    <w:snapToGrid w:val="0"/>
                    <w:jc w:val="center"/>
                    <w:rPr>
                      <w:rFonts w:hint="eastAsia" w:eastAsia="宋体"/>
                      <w:b/>
                      <w:bCs/>
                      <w:sz w:val="18"/>
                      <w:szCs w:val="18"/>
                      <w:lang w:val="en-US" w:eastAsia="zh-CN"/>
                    </w:rPr>
                  </w:pPr>
                  <w:r>
                    <w:rPr>
                      <w:rFonts w:hint="eastAsia"/>
                      <w:b/>
                      <w:bCs/>
                      <w:sz w:val="18"/>
                      <w:szCs w:val="18"/>
                      <w:lang w:val="en-US" w:eastAsia="zh-CN"/>
                    </w:rPr>
                    <w:t>/</w:t>
                  </w:r>
                </w:p>
              </w:tc>
              <w:tc>
                <w:tcPr>
                  <w:tcW w:w="852" w:type="pct"/>
                  <w:noWrap w:val="0"/>
                  <w:vAlign w:val="center"/>
                </w:tcPr>
                <w:p>
                  <w:pPr>
                    <w:adjustRightInd w:val="0"/>
                    <w:snapToGrid w:val="0"/>
                    <w:jc w:val="center"/>
                    <w:rPr>
                      <w:rFonts w:hint="default" w:eastAsia="宋体"/>
                      <w:b w:val="0"/>
                      <w:bCs w:val="0"/>
                      <w:sz w:val="18"/>
                      <w:szCs w:val="18"/>
                      <w:lang w:val="en-US" w:eastAsia="zh-CN"/>
                    </w:rPr>
                  </w:pPr>
                  <w:r>
                    <w:rPr>
                      <w:rFonts w:hint="eastAsia"/>
                      <w:b w:val="0"/>
                      <w:bCs w:val="0"/>
                      <w:sz w:val="18"/>
                      <w:szCs w:val="18"/>
                      <w:lang w:val="en-US" w:eastAsia="zh-CN"/>
                    </w:rPr>
                    <w:t>45</w:t>
                  </w:r>
                </w:p>
              </w:tc>
              <w:tc>
                <w:tcPr>
                  <w:tcW w:w="837" w:type="pct"/>
                  <w:noWrap w:val="0"/>
                  <w:vAlign w:val="center"/>
                </w:tcPr>
                <w:p>
                  <w:pPr>
                    <w:adjustRightInd w:val="0"/>
                    <w:snapToGrid w:val="0"/>
                    <w:jc w:val="center"/>
                    <w:rPr>
                      <w:rFonts w:hint="eastAsia"/>
                      <w:b/>
                      <w:bCs/>
                      <w:sz w:val="18"/>
                      <w:szCs w:val="18"/>
                    </w:rPr>
                  </w:pPr>
                  <w:r>
                    <w:rPr>
                      <w:rFonts w:hint="eastAsia"/>
                      <w:b w:val="0"/>
                      <w:bCs w:val="0"/>
                      <w:sz w:val="18"/>
                      <w:szCs w:val="18"/>
                      <w:lang w:val="en-US" w:eastAsia="zh-CN"/>
                    </w:rPr>
                    <w:t>45</w:t>
                  </w:r>
                </w:p>
              </w:tc>
              <w:tc>
                <w:tcPr>
                  <w:tcW w:w="1212" w:type="pct"/>
                  <w:noWrap w:val="0"/>
                  <w:vAlign w:val="center"/>
                </w:tcPr>
                <w:p>
                  <w:pPr>
                    <w:adjustRightInd w:val="0"/>
                    <w:snapToGrid w:val="0"/>
                    <w:jc w:val="center"/>
                    <w:rPr>
                      <w:rFonts w:hint="eastAsia" w:eastAsia="宋体"/>
                      <w:b/>
                      <w:bCs/>
                      <w:sz w:val="18"/>
                      <w:szCs w:val="18"/>
                      <w:lang w:eastAsia="zh-CN"/>
                    </w:rPr>
                  </w:pPr>
                  <w:r>
                    <w:rPr>
                      <w:rFonts w:hint="eastAsia"/>
                      <w:b w:val="0"/>
                      <w:bCs w:val="0"/>
                      <w:sz w:val="18"/>
                      <w:szCs w:val="18"/>
                      <w:lang w:eastAsia="zh-CN"/>
                    </w:rPr>
                    <w:t>环卫单位处置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sz w:val="21"/>
                <w:szCs w:val="21"/>
                <w:lang w:val="en-US" w:eastAsia="zh-CN"/>
              </w:rPr>
            </w:pPr>
            <w:r>
              <w:rPr>
                <w:rFonts w:hint="eastAsia"/>
                <w:sz w:val="21"/>
                <w:szCs w:val="21"/>
                <w:lang w:val="en-US" w:eastAsia="zh-CN"/>
              </w:rPr>
              <w:t>建设单位已建成一座10m</w:t>
            </w:r>
            <w:r>
              <w:rPr>
                <w:rFonts w:hint="eastAsia"/>
                <w:sz w:val="21"/>
                <w:szCs w:val="21"/>
                <w:vertAlign w:val="superscript"/>
                <w:lang w:val="en-US" w:eastAsia="zh-CN"/>
              </w:rPr>
              <w:t>2</w:t>
            </w:r>
            <w:r>
              <w:rPr>
                <w:rFonts w:hint="eastAsia"/>
                <w:sz w:val="21"/>
                <w:szCs w:val="21"/>
                <w:lang w:val="en-US" w:eastAsia="zh-CN"/>
              </w:rPr>
              <w:t>一般固废仓库3.5m</w:t>
            </w:r>
            <w:r>
              <w:rPr>
                <w:rFonts w:hint="eastAsia"/>
                <w:sz w:val="21"/>
                <w:szCs w:val="21"/>
                <w:vertAlign w:val="superscript"/>
                <w:lang w:val="en-US" w:eastAsia="zh-CN"/>
              </w:rPr>
              <w:t>2</w:t>
            </w:r>
            <w:r>
              <w:rPr>
                <w:rFonts w:hint="eastAsia"/>
                <w:sz w:val="21"/>
                <w:szCs w:val="21"/>
                <w:lang w:val="en-US" w:eastAsia="zh-CN"/>
              </w:rPr>
              <w:t>危废仓库，一般固废仓库已按照《一般工业固体废物贮存和填埋污染控制标准》（GB 18599-2020）、</w:t>
            </w:r>
            <w:r>
              <w:rPr>
                <w:rFonts w:hint="eastAsia"/>
                <w:kern w:val="0"/>
                <w:szCs w:val="21"/>
              </w:rPr>
              <w:t>危险废物贮存执行</w:t>
            </w:r>
            <w:r>
              <w:rPr>
                <w:szCs w:val="21"/>
              </w:rPr>
              <w:t>《危险废物贮存污染控制标准》（GB18597-2023）的要求</w:t>
            </w:r>
            <w:r>
              <w:rPr>
                <w:rFonts w:hint="eastAsia"/>
                <w:sz w:val="21"/>
                <w:szCs w:val="21"/>
                <w:lang w:val="en-US" w:eastAsia="zh-CN"/>
              </w:rPr>
              <w:t>落实防腐、防渗、防雨措施。</w:t>
            </w:r>
          </w:p>
          <w:p>
            <w:pPr>
              <w:keepNext w:val="0"/>
              <w:keepLines w:val="0"/>
              <w:pageBreakBefore w:val="0"/>
              <w:widowControl w:val="0"/>
              <w:numPr>
                <w:ilvl w:val="0"/>
                <w:numId w:val="5"/>
              </w:numPr>
              <w:kinsoku/>
              <w:wordWrap/>
              <w:overflowPunct/>
              <w:topLinePunct w:val="0"/>
              <w:autoSpaceDE/>
              <w:autoSpaceDN/>
              <w:bidi w:val="0"/>
              <w:adjustRightInd w:val="0"/>
              <w:snapToGrid/>
              <w:spacing w:line="500" w:lineRule="exact"/>
              <w:ind w:left="0" w:leftChars="0" w:firstLine="422" w:firstLineChars="200"/>
              <w:textAlignment w:val="auto"/>
              <w:rPr>
                <w:rFonts w:hint="eastAsia"/>
                <w:b/>
                <w:bCs/>
                <w:szCs w:val="21"/>
              </w:rPr>
            </w:pPr>
            <w:r>
              <w:rPr>
                <w:rFonts w:hint="eastAsia"/>
                <w:b/>
                <w:szCs w:val="21"/>
              </w:rPr>
              <w:t>污染物总量控制指标</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bCs/>
                <w:szCs w:val="21"/>
              </w:rPr>
            </w:pPr>
            <w:r>
              <w:rPr>
                <w:rFonts w:hint="eastAsia"/>
                <w:bCs/>
                <w:szCs w:val="21"/>
              </w:rPr>
              <w:t>现有项目污染物排放总量控制指标见下表。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Cs w:val="21"/>
              </w:rPr>
            </w:pPr>
            <w:r>
              <w:rPr>
                <w:rFonts w:hint="eastAsia"/>
                <w:b/>
                <w:bCs/>
                <w:szCs w:val="21"/>
              </w:rPr>
              <w:t>表2-</w:t>
            </w:r>
            <w:r>
              <w:rPr>
                <w:rFonts w:hint="eastAsia"/>
                <w:b/>
                <w:bCs/>
                <w:szCs w:val="21"/>
                <w:lang w:val="en-US" w:eastAsia="zh-CN"/>
              </w:rPr>
              <w:t>15</w:t>
            </w:r>
            <w:r>
              <w:rPr>
                <w:rFonts w:hint="eastAsia"/>
                <w:b/>
                <w:bCs/>
                <w:szCs w:val="21"/>
              </w:rPr>
              <w:t xml:space="preserve">  现有项目污染物排放总量控制指标 单位：t/a</w:t>
            </w:r>
          </w:p>
          <w:tbl>
            <w:tblPr>
              <w:tblStyle w:val="11"/>
              <w:tblW w:w="496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39"/>
              <w:gridCol w:w="900"/>
              <w:gridCol w:w="3795"/>
              <w:gridCol w:w="18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 w:type="pct"/>
                  <w:noWrap w:val="0"/>
                  <w:vAlign w:val="center"/>
                </w:tcPr>
                <w:p>
                  <w:pPr>
                    <w:jc w:val="center"/>
                    <w:rPr>
                      <w:rFonts w:hAnsi="宋体"/>
                      <w:b/>
                      <w:sz w:val="18"/>
                      <w:szCs w:val="18"/>
                    </w:rPr>
                  </w:pPr>
                  <w:r>
                    <w:rPr>
                      <w:rFonts w:hint="eastAsia" w:hAnsi="宋体"/>
                      <w:b/>
                      <w:sz w:val="18"/>
                      <w:szCs w:val="18"/>
                    </w:rPr>
                    <w:t>类别</w:t>
                  </w:r>
                </w:p>
              </w:tc>
              <w:tc>
                <w:tcPr>
                  <w:tcW w:w="1114" w:type="pct"/>
                  <w:gridSpan w:val="2"/>
                  <w:noWrap w:val="0"/>
                  <w:vAlign w:val="center"/>
                </w:tcPr>
                <w:p>
                  <w:pPr>
                    <w:jc w:val="center"/>
                    <w:rPr>
                      <w:rFonts w:hAnsi="宋体"/>
                      <w:b/>
                      <w:sz w:val="18"/>
                      <w:szCs w:val="18"/>
                    </w:rPr>
                  </w:pPr>
                  <w:r>
                    <w:rPr>
                      <w:rFonts w:hint="eastAsia" w:hAnsi="宋体"/>
                      <w:b/>
                      <w:sz w:val="18"/>
                      <w:szCs w:val="18"/>
                    </w:rPr>
                    <w:t>污染物</w:t>
                  </w:r>
                </w:p>
              </w:tc>
              <w:tc>
                <w:tcPr>
                  <w:tcW w:w="2300" w:type="pct"/>
                  <w:noWrap w:val="0"/>
                  <w:vAlign w:val="center"/>
                </w:tcPr>
                <w:p>
                  <w:pPr>
                    <w:jc w:val="center"/>
                    <w:rPr>
                      <w:rFonts w:hAnsi="宋体"/>
                      <w:b/>
                      <w:sz w:val="18"/>
                      <w:szCs w:val="18"/>
                    </w:rPr>
                  </w:pPr>
                  <w:r>
                    <w:rPr>
                      <w:rFonts w:hint="eastAsia" w:hAnsi="宋体"/>
                      <w:b/>
                      <w:sz w:val="18"/>
                      <w:szCs w:val="18"/>
                    </w:rPr>
                    <w:t>现有</w:t>
                  </w:r>
                  <w:r>
                    <w:rPr>
                      <w:rFonts w:hint="eastAsia" w:hAnsi="宋体"/>
                      <w:b/>
                      <w:sz w:val="18"/>
                      <w:szCs w:val="18"/>
                      <w:lang w:val="en-US" w:eastAsia="zh-CN"/>
                    </w:rPr>
                    <w:t>已建</w:t>
                  </w:r>
                  <w:r>
                    <w:rPr>
                      <w:rFonts w:hint="eastAsia" w:hAnsi="宋体"/>
                      <w:b/>
                      <w:sz w:val="18"/>
                      <w:szCs w:val="18"/>
                    </w:rPr>
                    <w:t>项目环评批复总量控制指标/接管量</w:t>
                  </w:r>
                </w:p>
              </w:tc>
              <w:tc>
                <w:tcPr>
                  <w:tcW w:w="1136" w:type="pct"/>
                  <w:noWrap w:val="0"/>
                  <w:vAlign w:val="center"/>
                </w:tcPr>
                <w:p>
                  <w:pPr>
                    <w:pStyle w:val="16"/>
                    <w:spacing w:line="240" w:lineRule="auto"/>
                    <w:rPr>
                      <w:rFonts w:hint="eastAsia" w:hAnsi="宋体" w:eastAsia="宋体"/>
                      <w:b w:val="0"/>
                      <w:sz w:val="18"/>
                      <w:szCs w:val="18"/>
                      <w:lang w:val="en-US" w:eastAsia="zh-CN"/>
                    </w:rPr>
                  </w:pPr>
                  <w:r>
                    <w:rPr>
                      <w:rFonts w:hint="eastAsia"/>
                      <w:sz w:val="18"/>
                      <w:szCs w:val="18"/>
                    </w:rPr>
                    <w:t>实际排放量/接管量</w:t>
                  </w:r>
                  <w:r>
                    <w:rPr>
                      <w:rStyle w:val="15"/>
                      <w:rFonts w:hint="eastAsia"/>
                      <w:b w:val="0"/>
                      <w:bCs w:val="0"/>
                      <w:kern w:val="0"/>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restart"/>
                  <w:noWrap w:val="0"/>
                  <w:vAlign w:val="center"/>
                </w:tcPr>
                <w:p>
                  <w:pPr>
                    <w:jc w:val="center"/>
                    <w:rPr>
                      <w:rFonts w:hint="eastAsia" w:hAnsi="宋体"/>
                      <w:sz w:val="18"/>
                      <w:szCs w:val="18"/>
                    </w:rPr>
                  </w:pPr>
                  <w:r>
                    <w:rPr>
                      <w:rFonts w:hint="eastAsia" w:hAnsi="宋体"/>
                      <w:sz w:val="18"/>
                      <w:szCs w:val="18"/>
                    </w:rPr>
                    <w:t>废气</w:t>
                  </w:r>
                </w:p>
              </w:tc>
              <w:tc>
                <w:tcPr>
                  <w:tcW w:w="569" w:type="pct"/>
                  <w:vMerge w:val="restart"/>
                  <w:noWrap w:val="0"/>
                  <w:vAlign w:val="center"/>
                </w:tcPr>
                <w:p>
                  <w:pPr>
                    <w:jc w:val="center"/>
                    <w:rPr>
                      <w:rFonts w:hint="eastAsia" w:hAnsi="宋体"/>
                      <w:sz w:val="18"/>
                      <w:szCs w:val="18"/>
                    </w:rPr>
                  </w:pPr>
                  <w:r>
                    <w:rPr>
                      <w:rFonts w:hint="eastAsia" w:hAnsi="宋体"/>
                      <w:sz w:val="18"/>
                      <w:szCs w:val="18"/>
                    </w:rPr>
                    <w:t>有组织</w:t>
                  </w:r>
                </w:p>
              </w:tc>
              <w:tc>
                <w:tcPr>
                  <w:tcW w:w="545" w:type="pct"/>
                  <w:noWrap w:val="0"/>
                  <w:vAlign w:val="center"/>
                </w:tcPr>
                <w:p>
                  <w:pPr>
                    <w:jc w:val="center"/>
                    <w:rPr>
                      <w:rFonts w:hint="eastAsia" w:hAnsi="宋体"/>
                      <w:sz w:val="18"/>
                      <w:szCs w:val="18"/>
                    </w:rPr>
                  </w:pPr>
                  <w:r>
                    <w:rPr>
                      <w:rFonts w:hint="eastAsia" w:hAnsi="宋体"/>
                      <w:sz w:val="18"/>
                      <w:szCs w:val="18"/>
                    </w:rPr>
                    <w:t>颗粒物</w:t>
                  </w:r>
                </w:p>
              </w:tc>
              <w:tc>
                <w:tcPr>
                  <w:tcW w:w="2300" w:type="pct"/>
                  <w:noWrap w:val="0"/>
                  <w:vAlign w:val="center"/>
                </w:tcPr>
                <w:p>
                  <w:pPr>
                    <w:tabs>
                      <w:tab w:val="left" w:pos="277"/>
                      <w:tab w:val="left" w:pos="600"/>
                      <w:tab w:val="left" w:pos="780"/>
                      <w:tab w:val="left" w:pos="2517"/>
                    </w:tabs>
                    <w:adjustRightInd w:val="0"/>
                    <w:snapToGrid w:val="0"/>
                    <w:jc w:val="center"/>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0.009</w:t>
                  </w:r>
                </w:p>
              </w:tc>
              <w:tc>
                <w:tcPr>
                  <w:tcW w:w="1136" w:type="pct"/>
                  <w:noWrap w:val="0"/>
                  <w:vAlign w:val="center"/>
                </w:tcPr>
                <w:p>
                  <w:pPr>
                    <w:tabs>
                      <w:tab w:val="left" w:pos="277"/>
                      <w:tab w:val="left" w:pos="600"/>
                      <w:tab w:val="left" w:pos="780"/>
                      <w:tab w:val="left" w:pos="2517"/>
                    </w:tabs>
                    <w:adjustRightInd w:val="0"/>
                    <w:snapToGrid w:val="0"/>
                    <w:jc w:val="center"/>
                    <w:rPr>
                      <w:rFonts w:hint="default" w:ascii="Times New Roman" w:hAnsi="Times New Roman" w:eastAsia="宋体" w:cs="Times New Roman"/>
                      <w:color w:val="auto"/>
                      <w:sz w:val="18"/>
                      <w:szCs w:val="18"/>
                      <w:lang w:val="en-US" w:eastAsia="zh-CN"/>
                    </w:rPr>
                  </w:pPr>
                  <w:r>
                    <w:rPr>
                      <w:rFonts w:hint="eastAsia" w:cs="Times New Roman"/>
                      <w:color w:val="auto"/>
                      <w:kern w:val="0"/>
                      <w:sz w:val="18"/>
                      <w:szCs w:val="18"/>
                      <w:lang w:val="en-US" w:eastAsia="zh-CN"/>
                    </w:rPr>
                    <w:t>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continue"/>
                  <w:noWrap w:val="0"/>
                  <w:vAlign w:val="center"/>
                </w:tcPr>
                <w:p>
                  <w:pPr>
                    <w:jc w:val="center"/>
                    <w:rPr>
                      <w:rFonts w:hint="eastAsia" w:hAnsi="宋体"/>
                      <w:sz w:val="18"/>
                      <w:szCs w:val="18"/>
                    </w:rPr>
                  </w:pPr>
                </w:p>
              </w:tc>
              <w:tc>
                <w:tcPr>
                  <w:tcW w:w="569" w:type="pct"/>
                  <w:vMerge w:val="continue"/>
                  <w:noWrap w:val="0"/>
                  <w:vAlign w:val="center"/>
                </w:tcPr>
                <w:p>
                  <w:pPr>
                    <w:jc w:val="center"/>
                    <w:rPr>
                      <w:rFonts w:hint="eastAsia" w:hAnsi="宋体"/>
                      <w:sz w:val="18"/>
                      <w:szCs w:val="18"/>
                    </w:rPr>
                  </w:pPr>
                </w:p>
              </w:tc>
              <w:tc>
                <w:tcPr>
                  <w:tcW w:w="545" w:type="pct"/>
                  <w:noWrap w:val="0"/>
                  <w:vAlign w:val="center"/>
                </w:tcPr>
                <w:p>
                  <w:pPr>
                    <w:jc w:val="center"/>
                    <w:rPr>
                      <w:rFonts w:hint="default" w:hAnsi="宋体" w:eastAsia="宋体"/>
                      <w:sz w:val="18"/>
                      <w:szCs w:val="18"/>
                      <w:lang w:val="en-US" w:eastAsia="zh-CN"/>
                    </w:rPr>
                  </w:pPr>
                  <w:r>
                    <w:rPr>
                      <w:rFonts w:hint="eastAsia" w:hAnsi="宋体"/>
                      <w:sz w:val="18"/>
                      <w:szCs w:val="18"/>
                      <w:lang w:val="en-US" w:eastAsia="zh-CN"/>
                    </w:rPr>
                    <w:t>VOC</w:t>
                  </w:r>
                  <w:r>
                    <w:rPr>
                      <w:rFonts w:hint="eastAsia" w:hAnsi="宋体"/>
                      <w:sz w:val="18"/>
                      <w:szCs w:val="18"/>
                      <w:vertAlign w:val="subscript"/>
                      <w:lang w:val="en-US" w:eastAsia="zh-CN"/>
                    </w:rPr>
                    <w:t>S</w:t>
                  </w:r>
                </w:p>
              </w:tc>
              <w:tc>
                <w:tcPr>
                  <w:tcW w:w="2300" w:type="pct"/>
                  <w:noWrap w:val="0"/>
                  <w:vAlign w:val="center"/>
                </w:tcPr>
                <w:p>
                  <w:pPr>
                    <w:tabs>
                      <w:tab w:val="left" w:pos="277"/>
                      <w:tab w:val="left" w:pos="600"/>
                      <w:tab w:val="left" w:pos="780"/>
                      <w:tab w:val="left" w:pos="2517"/>
                    </w:tabs>
                    <w:adjustRightInd w:val="0"/>
                    <w:snapToGrid w:val="0"/>
                    <w:jc w:val="center"/>
                    <w:rPr>
                      <w:rFonts w:hint="default" w:ascii="Times New Roman" w:hAnsi="Times New Roman" w:cs="Times New Roman"/>
                      <w:color w:val="auto"/>
                      <w:kern w:val="0"/>
                      <w:sz w:val="18"/>
                      <w:szCs w:val="18"/>
                      <w:lang w:val="en-US" w:eastAsia="zh-CN"/>
                    </w:rPr>
                  </w:pPr>
                  <w:r>
                    <w:rPr>
                      <w:rFonts w:hint="eastAsia" w:cs="Times New Roman"/>
                      <w:color w:val="auto"/>
                      <w:kern w:val="0"/>
                      <w:sz w:val="18"/>
                      <w:szCs w:val="18"/>
                      <w:lang w:val="en-US" w:eastAsia="zh-CN"/>
                    </w:rPr>
                    <w:t>0.009</w:t>
                  </w:r>
                </w:p>
              </w:tc>
              <w:tc>
                <w:tcPr>
                  <w:tcW w:w="1136" w:type="pct"/>
                  <w:noWrap w:val="0"/>
                  <w:vAlign w:val="center"/>
                </w:tcPr>
                <w:p>
                  <w:pPr>
                    <w:tabs>
                      <w:tab w:val="left" w:pos="277"/>
                      <w:tab w:val="left" w:pos="600"/>
                      <w:tab w:val="left" w:pos="780"/>
                      <w:tab w:val="left" w:pos="2517"/>
                    </w:tabs>
                    <w:adjustRightInd w:val="0"/>
                    <w:snapToGrid w:val="0"/>
                    <w:jc w:val="center"/>
                    <w:rPr>
                      <w:rFonts w:hint="default" w:ascii="Times New Roman" w:hAnsi="Times New Roman" w:cs="Times New Roman"/>
                      <w:color w:val="auto"/>
                      <w:sz w:val="18"/>
                      <w:szCs w:val="18"/>
                      <w:lang w:val="en-US" w:eastAsia="zh-CN"/>
                    </w:rPr>
                  </w:pPr>
                  <w:r>
                    <w:rPr>
                      <w:rFonts w:hint="eastAsia" w:cs="Times New Roman"/>
                      <w:color w:val="auto"/>
                      <w:kern w:val="0"/>
                      <w:sz w:val="18"/>
                      <w:szCs w:val="18"/>
                      <w:lang w:val="en-US" w:eastAsia="zh-CN"/>
                    </w:rPr>
                    <w:t>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continue"/>
                  <w:noWrap w:val="0"/>
                  <w:vAlign w:val="center"/>
                </w:tcPr>
                <w:p>
                  <w:pPr>
                    <w:jc w:val="center"/>
                    <w:rPr>
                      <w:rFonts w:hAnsi="宋体"/>
                      <w:sz w:val="18"/>
                      <w:szCs w:val="18"/>
                    </w:rPr>
                  </w:pPr>
                </w:p>
              </w:tc>
              <w:tc>
                <w:tcPr>
                  <w:tcW w:w="569" w:type="pct"/>
                  <w:vMerge w:val="restart"/>
                  <w:noWrap w:val="0"/>
                  <w:vAlign w:val="center"/>
                </w:tcPr>
                <w:p>
                  <w:pPr>
                    <w:jc w:val="center"/>
                    <w:rPr>
                      <w:rFonts w:hint="eastAsia" w:hAnsi="宋体"/>
                      <w:sz w:val="18"/>
                      <w:szCs w:val="18"/>
                    </w:rPr>
                  </w:pPr>
                  <w:r>
                    <w:rPr>
                      <w:rFonts w:hint="eastAsia" w:hAnsi="宋体"/>
                      <w:sz w:val="18"/>
                      <w:szCs w:val="18"/>
                    </w:rPr>
                    <w:t>无组织</w:t>
                  </w:r>
                </w:p>
              </w:tc>
              <w:tc>
                <w:tcPr>
                  <w:tcW w:w="545" w:type="pct"/>
                  <w:noWrap w:val="0"/>
                  <w:vAlign w:val="center"/>
                </w:tcPr>
                <w:p>
                  <w:pPr>
                    <w:jc w:val="center"/>
                    <w:rPr>
                      <w:rFonts w:hint="eastAsia" w:hAnsi="宋体"/>
                      <w:sz w:val="18"/>
                      <w:szCs w:val="18"/>
                    </w:rPr>
                  </w:pPr>
                  <w:r>
                    <w:rPr>
                      <w:rFonts w:hint="eastAsia" w:hAnsi="宋体"/>
                      <w:sz w:val="18"/>
                      <w:szCs w:val="18"/>
                    </w:rPr>
                    <w:t>颗粒物</w:t>
                  </w:r>
                </w:p>
              </w:tc>
              <w:tc>
                <w:tcPr>
                  <w:tcW w:w="2300" w:type="pct"/>
                  <w:noWrap w:val="0"/>
                  <w:vAlign w:val="center"/>
                </w:tcPr>
                <w:p>
                  <w:pPr>
                    <w:widowControl/>
                    <w:jc w:val="center"/>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0.01</w:t>
                  </w:r>
                </w:p>
              </w:tc>
              <w:tc>
                <w:tcPr>
                  <w:tcW w:w="1136" w:type="pct"/>
                  <w:noWrap w:val="0"/>
                  <w:vAlign w:val="center"/>
                </w:tcPr>
                <w:p>
                  <w:pPr>
                    <w:widowControl/>
                    <w:jc w:val="center"/>
                    <w:rPr>
                      <w:rFonts w:hint="default" w:ascii="Times New Roman" w:hAnsi="Times New Roman" w:cs="Times New Roman"/>
                      <w:color w:val="auto"/>
                      <w:kern w:val="0"/>
                      <w:sz w:val="18"/>
                      <w:szCs w:val="18"/>
                    </w:rPr>
                  </w:pPr>
                  <w:r>
                    <w:rPr>
                      <w:rFonts w:hint="eastAsia" w:cs="Times New Roman"/>
                      <w:color w:val="auto"/>
                      <w:kern w:val="0"/>
                      <w:sz w:val="18"/>
                      <w:szCs w:val="18"/>
                      <w:lang w:val="en-US" w:eastAsia="zh-C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continue"/>
                  <w:noWrap w:val="0"/>
                  <w:vAlign w:val="center"/>
                </w:tcPr>
                <w:p>
                  <w:pPr>
                    <w:jc w:val="center"/>
                    <w:rPr>
                      <w:rFonts w:hAnsi="宋体"/>
                      <w:sz w:val="18"/>
                      <w:szCs w:val="18"/>
                    </w:rPr>
                  </w:pPr>
                </w:p>
              </w:tc>
              <w:tc>
                <w:tcPr>
                  <w:tcW w:w="569" w:type="pct"/>
                  <w:vMerge w:val="continue"/>
                  <w:noWrap w:val="0"/>
                  <w:vAlign w:val="center"/>
                </w:tcPr>
                <w:p>
                  <w:pPr>
                    <w:jc w:val="center"/>
                    <w:rPr>
                      <w:rFonts w:hint="eastAsia" w:hAnsi="宋体"/>
                      <w:sz w:val="18"/>
                      <w:szCs w:val="18"/>
                    </w:rPr>
                  </w:pPr>
                </w:p>
              </w:tc>
              <w:tc>
                <w:tcPr>
                  <w:tcW w:w="545" w:type="pct"/>
                  <w:noWrap w:val="0"/>
                  <w:vAlign w:val="center"/>
                </w:tcPr>
                <w:p>
                  <w:pPr>
                    <w:jc w:val="center"/>
                    <w:rPr>
                      <w:rFonts w:hint="default" w:hAnsi="宋体" w:eastAsia="宋体"/>
                      <w:sz w:val="18"/>
                      <w:szCs w:val="18"/>
                      <w:lang w:val="en-US" w:eastAsia="zh-CN"/>
                    </w:rPr>
                  </w:pPr>
                  <w:r>
                    <w:rPr>
                      <w:rFonts w:hint="eastAsia" w:hAnsi="宋体"/>
                      <w:sz w:val="18"/>
                      <w:szCs w:val="18"/>
                      <w:lang w:val="en-US" w:eastAsia="zh-CN"/>
                    </w:rPr>
                    <w:t>VOC</w:t>
                  </w:r>
                  <w:r>
                    <w:rPr>
                      <w:rFonts w:hint="eastAsia" w:hAnsi="宋体"/>
                      <w:sz w:val="18"/>
                      <w:szCs w:val="18"/>
                      <w:vertAlign w:val="subscript"/>
                      <w:lang w:val="en-US" w:eastAsia="zh-CN"/>
                    </w:rPr>
                    <w:t>S</w:t>
                  </w:r>
                </w:p>
              </w:tc>
              <w:tc>
                <w:tcPr>
                  <w:tcW w:w="2300" w:type="pct"/>
                  <w:noWrap w:val="0"/>
                  <w:vAlign w:val="center"/>
                </w:tcPr>
                <w:p>
                  <w:pPr>
                    <w:widowControl/>
                    <w:jc w:val="center"/>
                    <w:rPr>
                      <w:rFonts w:hint="default" w:ascii="Times New Roman" w:hAnsi="Times New Roman" w:cs="Times New Roman"/>
                      <w:color w:val="auto"/>
                      <w:kern w:val="0"/>
                      <w:sz w:val="18"/>
                      <w:szCs w:val="18"/>
                      <w:lang w:val="en-US" w:eastAsia="zh-CN"/>
                    </w:rPr>
                  </w:pPr>
                  <w:r>
                    <w:rPr>
                      <w:rFonts w:hint="eastAsia" w:cs="Times New Roman"/>
                      <w:color w:val="auto"/>
                      <w:kern w:val="0"/>
                      <w:sz w:val="18"/>
                      <w:szCs w:val="18"/>
                      <w:lang w:val="en-US" w:eastAsia="zh-CN"/>
                    </w:rPr>
                    <w:t>0.01</w:t>
                  </w:r>
                </w:p>
              </w:tc>
              <w:tc>
                <w:tcPr>
                  <w:tcW w:w="1136" w:type="pct"/>
                  <w:noWrap w:val="0"/>
                  <w:vAlign w:val="center"/>
                </w:tcPr>
                <w:p>
                  <w:pPr>
                    <w:widowControl/>
                    <w:jc w:val="center"/>
                    <w:rPr>
                      <w:rFonts w:hint="default" w:ascii="Times New Roman" w:hAnsi="Times New Roman" w:eastAsia="宋体" w:cs="Times New Roman"/>
                      <w:color w:val="auto"/>
                      <w:sz w:val="18"/>
                      <w:szCs w:val="18"/>
                      <w:lang w:val="en-US" w:eastAsia="zh-CN"/>
                    </w:rPr>
                  </w:pPr>
                  <w:r>
                    <w:rPr>
                      <w:rFonts w:hint="eastAsia" w:cs="Times New Roman"/>
                      <w:color w:val="auto"/>
                      <w:kern w:val="0"/>
                      <w:sz w:val="18"/>
                      <w:szCs w:val="18"/>
                      <w:lang w:val="en-US" w:eastAsia="zh-C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48" w:type="pct"/>
                  <w:vMerge w:val="continue"/>
                  <w:noWrap w:val="0"/>
                  <w:vAlign w:val="center"/>
                </w:tcPr>
                <w:p>
                  <w:pPr>
                    <w:jc w:val="center"/>
                    <w:rPr>
                      <w:rFonts w:hAnsi="宋体"/>
                      <w:sz w:val="18"/>
                      <w:szCs w:val="18"/>
                    </w:rPr>
                  </w:pPr>
                </w:p>
              </w:tc>
              <w:tc>
                <w:tcPr>
                  <w:tcW w:w="569" w:type="pct"/>
                  <w:vMerge w:val="continue"/>
                  <w:noWrap w:val="0"/>
                  <w:vAlign w:val="center"/>
                </w:tcPr>
                <w:p>
                  <w:pPr>
                    <w:jc w:val="center"/>
                    <w:rPr>
                      <w:rFonts w:hint="eastAsia" w:hAnsi="宋体"/>
                      <w:sz w:val="18"/>
                      <w:szCs w:val="18"/>
                    </w:rPr>
                  </w:pPr>
                </w:p>
              </w:tc>
              <w:tc>
                <w:tcPr>
                  <w:tcW w:w="545" w:type="pct"/>
                  <w:noWrap w:val="0"/>
                  <w:vAlign w:val="center"/>
                </w:tcPr>
                <w:p>
                  <w:pPr>
                    <w:jc w:val="center"/>
                    <w:rPr>
                      <w:rFonts w:hint="default" w:hAnsi="宋体"/>
                      <w:sz w:val="18"/>
                      <w:szCs w:val="18"/>
                      <w:lang w:val="en-US" w:eastAsia="zh-CN"/>
                    </w:rPr>
                  </w:pPr>
                  <w:r>
                    <w:rPr>
                      <w:rFonts w:hint="eastAsia" w:hAnsi="宋体"/>
                      <w:sz w:val="18"/>
                      <w:szCs w:val="18"/>
                      <w:lang w:val="en-US" w:eastAsia="zh-CN"/>
                    </w:rPr>
                    <w:t>NH</w:t>
                  </w:r>
                  <w:r>
                    <w:rPr>
                      <w:rFonts w:hint="eastAsia" w:hAnsi="宋体"/>
                      <w:sz w:val="18"/>
                      <w:szCs w:val="18"/>
                      <w:vertAlign w:val="subscript"/>
                      <w:lang w:val="en-US" w:eastAsia="zh-CN"/>
                    </w:rPr>
                    <w:t>3</w:t>
                  </w:r>
                </w:p>
              </w:tc>
              <w:tc>
                <w:tcPr>
                  <w:tcW w:w="2300" w:type="pct"/>
                  <w:noWrap w:val="0"/>
                  <w:vAlign w:val="center"/>
                </w:tcPr>
                <w:p>
                  <w:pPr>
                    <w:widowControl/>
                    <w:jc w:val="center"/>
                    <w:rPr>
                      <w:rFonts w:hint="default" w:cs="Times New Roman"/>
                      <w:color w:val="auto"/>
                      <w:kern w:val="0"/>
                      <w:sz w:val="18"/>
                      <w:szCs w:val="18"/>
                      <w:lang w:val="en-US" w:eastAsia="zh-CN"/>
                    </w:rPr>
                  </w:pPr>
                  <w:r>
                    <w:rPr>
                      <w:rFonts w:hint="eastAsia" w:cs="Times New Roman"/>
                      <w:color w:val="auto"/>
                      <w:kern w:val="0"/>
                      <w:sz w:val="18"/>
                      <w:szCs w:val="18"/>
                      <w:lang w:val="en-US" w:eastAsia="zh-CN"/>
                    </w:rPr>
                    <w:t>0.004</w:t>
                  </w:r>
                </w:p>
              </w:tc>
              <w:tc>
                <w:tcPr>
                  <w:tcW w:w="1136" w:type="pct"/>
                  <w:noWrap w:val="0"/>
                  <w:vAlign w:val="center"/>
                </w:tcPr>
                <w:p>
                  <w:pPr>
                    <w:widowControl/>
                    <w:jc w:val="center"/>
                    <w:rPr>
                      <w:rFonts w:hint="default" w:ascii="Times New Roman" w:hAnsi="Times New Roman" w:cs="Times New Roman"/>
                      <w:color w:val="auto"/>
                      <w:sz w:val="18"/>
                      <w:szCs w:val="18"/>
                      <w:lang w:val="en-US" w:eastAsia="zh-CN"/>
                    </w:rPr>
                  </w:pPr>
                  <w:r>
                    <w:rPr>
                      <w:rFonts w:hint="eastAsia" w:cs="Times New Roman"/>
                      <w:color w:val="auto"/>
                      <w:kern w:val="0"/>
                      <w:sz w:val="18"/>
                      <w:szCs w:val="18"/>
                      <w:lang w:val="en-US" w:eastAsia="zh-CN"/>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48" w:type="pct"/>
                  <w:vMerge w:val="continue"/>
                  <w:noWrap w:val="0"/>
                  <w:vAlign w:val="center"/>
                </w:tcPr>
                <w:p>
                  <w:pPr>
                    <w:jc w:val="center"/>
                    <w:rPr>
                      <w:rFonts w:hAnsi="宋体"/>
                      <w:sz w:val="18"/>
                      <w:szCs w:val="18"/>
                    </w:rPr>
                  </w:pPr>
                </w:p>
              </w:tc>
              <w:tc>
                <w:tcPr>
                  <w:tcW w:w="569" w:type="pct"/>
                  <w:vMerge w:val="continue"/>
                  <w:noWrap w:val="0"/>
                  <w:vAlign w:val="center"/>
                </w:tcPr>
                <w:p>
                  <w:pPr>
                    <w:jc w:val="center"/>
                    <w:rPr>
                      <w:rFonts w:hint="eastAsia" w:hAnsi="宋体"/>
                      <w:sz w:val="18"/>
                      <w:szCs w:val="18"/>
                    </w:rPr>
                  </w:pPr>
                </w:p>
              </w:tc>
              <w:tc>
                <w:tcPr>
                  <w:tcW w:w="545" w:type="pct"/>
                  <w:noWrap w:val="0"/>
                  <w:vAlign w:val="center"/>
                </w:tcPr>
                <w:p>
                  <w:pPr>
                    <w:jc w:val="center"/>
                    <w:rPr>
                      <w:rFonts w:hint="default" w:hAnsi="宋体"/>
                      <w:sz w:val="18"/>
                      <w:szCs w:val="18"/>
                      <w:lang w:val="en-US" w:eastAsia="zh-CN"/>
                    </w:rPr>
                  </w:pPr>
                  <w:r>
                    <w:rPr>
                      <w:rFonts w:hint="eastAsia" w:hAnsi="宋体"/>
                      <w:sz w:val="18"/>
                      <w:szCs w:val="18"/>
                      <w:lang w:val="en-US" w:eastAsia="zh-CN"/>
                    </w:rPr>
                    <w:t>H</w:t>
                  </w:r>
                  <w:r>
                    <w:rPr>
                      <w:rFonts w:hint="eastAsia" w:hAnsi="宋体"/>
                      <w:sz w:val="18"/>
                      <w:szCs w:val="18"/>
                      <w:vertAlign w:val="subscript"/>
                      <w:lang w:val="en-US" w:eastAsia="zh-CN"/>
                    </w:rPr>
                    <w:t>2</w:t>
                  </w:r>
                  <w:r>
                    <w:rPr>
                      <w:rFonts w:hint="eastAsia" w:hAnsi="宋体"/>
                      <w:sz w:val="18"/>
                      <w:szCs w:val="18"/>
                      <w:lang w:val="en-US" w:eastAsia="zh-CN"/>
                    </w:rPr>
                    <w:t>S</w:t>
                  </w:r>
                </w:p>
              </w:tc>
              <w:tc>
                <w:tcPr>
                  <w:tcW w:w="2300" w:type="pct"/>
                  <w:noWrap w:val="0"/>
                  <w:vAlign w:val="center"/>
                </w:tcPr>
                <w:p>
                  <w:pPr>
                    <w:widowControl/>
                    <w:jc w:val="center"/>
                    <w:rPr>
                      <w:rFonts w:hint="default" w:cs="Times New Roman"/>
                      <w:color w:val="auto"/>
                      <w:kern w:val="0"/>
                      <w:sz w:val="18"/>
                      <w:szCs w:val="18"/>
                      <w:lang w:val="en-US" w:eastAsia="zh-CN"/>
                    </w:rPr>
                  </w:pPr>
                  <w:r>
                    <w:rPr>
                      <w:rFonts w:hint="eastAsia" w:cs="Times New Roman"/>
                      <w:color w:val="auto"/>
                      <w:kern w:val="0"/>
                      <w:sz w:val="18"/>
                      <w:szCs w:val="18"/>
                      <w:lang w:val="en-US" w:eastAsia="zh-CN"/>
                    </w:rPr>
                    <w:t>0.0003</w:t>
                  </w:r>
                </w:p>
              </w:tc>
              <w:tc>
                <w:tcPr>
                  <w:tcW w:w="1136" w:type="pct"/>
                  <w:noWrap w:val="0"/>
                  <w:vAlign w:val="center"/>
                </w:tcPr>
                <w:p>
                  <w:pPr>
                    <w:widowControl/>
                    <w:jc w:val="center"/>
                    <w:rPr>
                      <w:rFonts w:hint="default" w:ascii="Times New Roman" w:hAnsi="Times New Roman" w:cs="Times New Roman"/>
                      <w:color w:val="auto"/>
                      <w:sz w:val="18"/>
                      <w:szCs w:val="18"/>
                      <w:lang w:val="en-US" w:eastAsia="zh-CN"/>
                    </w:rPr>
                  </w:pPr>
                  <w:r>
                    <w:rPr>
                      <w:rFonts w:hint="eastAsia" w:cs="Times New Roman"/>
                      <w:color w:val="auto"/>
                      <w:kern w:val="0"/>
                      <w:sz w:val="18"/>
                      <w:szCs w:val="18"/>
                      <w:lang w:val="en-US" w:eastAsia="zh-CN"/>
                    </w:rPr>
                    <w:t>0.0003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restart"/>
                  <w:noWrap w:val="0"/>
                  <w:vAlign w:val="center"/>
                </w:tcPr>
                <w:p>
                  <w:pPr>
                    <w:jc w:val="center"/>
                    <w:rPr>
                      <w:rFonts w:hAnsi="宋体"/>
                      <w:sz w:val="18"/>
                      <w:szCs w:val="18"/>
                    </w:rPr>
                  </w:pPr>
                  <w:r>
                    <w:rPr>
                      <w:rFonts w:hint="eastAsia" w:hAnsi="宋体"/>
                      <w:sz w:val="18"/>
                      <w:szCs w:val="18"/>
                    </w:rPr>
                    <w:t>废水</w:t>
                  </w:r>
                </w:p>
              </w:tc>
              <w:tc>
                <w:tcPr>
                  <w:tcW w:w="1114" w:type="pct"/>
                  <w:gridSpan w:val="2"/>
                  <w:noWrap w:val="0"/>
                  <w:vAlign w:val="center"/>
                </w:tcPr>
                <w:p>
                  <w:pPr>
                    <w:jc w:val="center"/>
                    <w:rPr>
                      <w:rFonts w:hAnsi="宋体"/>
                      <w:sz w:val="18"/>
                      <w:szCs w:val="18"/>
                    </w:rPr>
                  </w:pPr>
                  <w:r>
                    <w:rPr>
                      <w:rFonts w:hint="eastAsia" w:hAnsi="宋体"/>
                      <w:sz w:val="18"/>
                      <w:szCs w:val="18"/>
                    </w:rPr>
                    <w:t>废水量</w:t>
                  </w:r>
                </w:p>
              </w:tc>
              <w:tc>
                <w:tcPr>
                  <w:tcW w:w="2300" w:type="pct"/>
                  <w:noWrap w:val="0"/>
                  <w:vAlign w:val="center"/>
                </w:tcPr>
                <w:p>
                  <w:pPr>
                    <w:tabs>
                      <w:tab w:val="left" w:pos="277"/>
                      <w:tab w:val="left" w:pos="600"/>
                      <w:tab w:val="left" w:pos="780"/>
                      <w:tab w:val="left" w:pos="2517"/>
                    </w:tabs>
                    <w:adjustRightInd w:val="0"/>
                    <w:snapToGrid w:val="0"/>
                    <w:jc w:val="center"/>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8003.55</w:t>
                  </w:r>
                </w:p>
              </w:tc>
              <w:tc>
                <w:tcPr>
                  <w:tcW w:w="1136" w:type="pct"/>
                  <w:noWrap w:val="0"/>
                  <w:vAlign w:val="center"/>
                </w:tcPr>
                <w:p>
                  <w:pPr>
                    <w:tabs>
                      <w:tab w:val="left" w:pos="277"/>
                      <w:tab w:val="left" w:pos="600"/>
                      <w:tab w:val="left" w:pos="780"/>
                      <w:tab w:val="left" w:pos="2517"/>
                    </w:tabs>
                    <w:adjustRightInd w:val="0"/>
                    <w:snapToGrid w:val="0"/>
                    <w:jc w:val="center"/>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8003.55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continue"/>
                  <w:noWrap w:val="0"/>
                  <w:vAlign w:val="center"/>
                </w:tcPr>
                <w:p>
                  <w:pPr>
                    <w:jc w:val="center"/>
                    <w:rPr>
                      <w:rFonts w:hAnsi="宋体"/>
                      <w:sz w:val="18"/>
                      <w:szCs w:val="18"/>
                    </w:rPr>
                  </w:pPr>
                </w:p>
              </w:tc>
              <w:tc>
                <w:tcPr>
                  <w:tcW w:w="1114" w:type="pct"/>
                  <w:gridSpan w:val="2"/>
                  <w:noWrap w:val="0"/>
                  <w:vAlign w:val="center"/>
                </w:tcPr>
                <w:p>
                  <w:pPr>
                    <w:jc w:val="center"/>
                    <w:rPr>
                      <w:rFonts w:hAnsi="宋体"/>
                      <w:sz w:val="18"/>
                      <w:szCs w:val="18"/>
                    </w:rPr>
                  </w:pPr>
                  <w:r>
                    <w:rPr>
                      <w:rFonts w:hAnsi="宋体"/>
                      <w:sz w:val="18"/>
                      <w:szCs w:val="18"/>
                    </w:rPr>
                    <w:t>COD</w:t>
                  </w:r>
                </w:p>
              </w:tc>
              <w:tc>
                <w:tcPr>
                  <w:tcW w:w="2300"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rPr>
                  </w:pPr>
                  <w:r>
                    <w:rPr>
                      <w:rFonts w:hint="eastAsia" w:cs="Times New Roman"/>
                      <w:i w:val="0"/>
                      <w:iCs w:val="0"/>
                      <w:color w:val="auto"/>
                      <w:kern w:val="0"/>
                      <w:sz w:val="18"/>
                      <w:szCs w:val="18"/>
                      <w:u w:val="none"/>
                      <w:lang w:val="en-US" w:eastAsia="zh-CN" w:bidi="ar"/>
                    </w:rPr>
                    <w:t>1.49</w:t>
                  </w:r>
                </w:p>
              </w:tc>
              <w:tc>
                <w:tcPr>
                  <w:tcW w:w="113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eastAsia" w:cs="Times New Roman"/>
                      <w:i w:val="0"/>
                      <w:iCs w:val="0"/>
                      <w:color w:val="auto"/>
                      <w:kern w:val="0"/>
                      <w:sz w:val="18"/>
                      <w:szCs w:val="18"/>
                      <w:u w:val="none"/>
                      <w:lang w:val="en-US" w:eastAsia="zh-CN" w:bidi="ar"/>
                    </w:rPr>
                    <w:t>1.49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continue"/>
                  <w:noWrap w:val="0"/>
                  <w:vAlign w:val="center"/>
                </w:tcPr>
                <w:p>
                  <w:pPr>
                    <w:jc w:val="center"/>
                    <w:rPr>
                      <w:rFonts w:hAnsi="宋体"/>
                      <w:sz w:val="18"/>
                      <w:szCs w:val="18"/>
                    </w:rPr>
                  </w:pPr>
                </w:p>
              </w:tc>
              <w:tc>
                <w:tcPr>
                  <w:tcW w:w="1114" w:type="pct"/>
                  <w:gridSpan w:val="2"/>
                  <w:noWrap w:val="0"/>
                  <w:vAlign w:val="center"/>
                </w:tcPr>
                <w:p>
                  <w:pPr>
                    <w:jc w:val="center"/>
                    <w:rPr>
                      <w:rFonts w:hAnsi="宋体"/>
                      <w:sz w:val="18"/>
                      <w:szCs w:val="18"/>
                    </w:rPr>
                  </w:pPr>
                  <w:r>
                    <w:rPr>
                      <w:rFonts w:hint="eastAsia" w:hAnsi="宋体"/>
                      <w:sz w:val="18"/>
                      <w:szCs w:val="18"/>
                    </w:rPr>
                    <w:t>S</w:t>
                  </w:r>
                  <w:r>
                    <w:rPr>
                      <w:rFonts w:hAnsi="宋体"/>
                      <w:sz w:val="18"/>
                      <w:szCs w:val="18"/>
                    </w:rPr>
                    <w:t>S</w:t>
                  </w:r>
                </w:p>
              </w:tc>
              <w:tc>
                <w:tcPr>
                  <w:tcW w:w="2300"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rPr>
                  </w:pPr>
                  <w:r>
                    <w:rPr>
                      <w:rFonts w:hint="eastAsia" w:cs="Times New Roman"/>
                      <w:i w:val="0"/>
                      <w:iCs w:val="0"/>
                      <w:color w:val="auto"/>
                      <w:kern w:val="0"/>
                      <w:sz w:val="18"/>
                      <w:szCs w:val="18"/>
                      <w:u w:val="none"/>
                      <w:lang w:val="en-US" w:eastAsia="zh-CN" w:bidi="ar"/>
                    </w:rPr>
                    <w:t>0.714</w:t>
                  </w:r>
                </w:p>
              </w:tc>
              <w:tc>
                <w:tcPr>
                  <w:tcW w:w="113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eastAsia" w:cs="Times New Roman"/>
                      <w:i w:val="0"/>
                      <w:iCs w:val="0"/>
                      <w:color w:val="auto"/>
                      <w:kern w:val="0"/>
                      <w:sz w:val="18"/>
                      <w:szCs w:val="18"/>
                      <w:u w:val="none"/>
                      <w:lang w:val="en-US" w:eastAsia="zh-CN" w:bidi="ar"/>
                    </w:rPr>
                    <w:t>0.714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continue"/>
                  <w:noWrap w:val="0"/>
                  <w:vAlign w:val="center"/>
                </w:tcPr>
                <w:p>
                  <w:pPr>
                    <w:jc w:val="center"/>
                    <w:rPr>
                      <w:rFonts w:hAnsi="宋体"/>
                      <w:sz w:val="18"/>
                      <w:szCs w:val="18"/>
                    </w:rPr>
                  </w:pPr>
                </w:p>
              </w:tc>
              <w:tc>
                <w:tcPr>
                  <w:tcW w:w="1114" w:type="pct"/>
                  <w:gridSpan w:val="2"/>
                  <w:noWrap w:val="0"/>
                  <w:vAlign w:val="center"/>
                </w:tcPr>
                <w:p>
                  <w:pPr>
                    <w:jc w:val="center"/>
                    <w:rPr>
                      <w:rFonts w:hAnsi="宋体"/>
                      <w:sz w:val="18"/>
                      <w:szCs w:val="18"/>
                    </w:rPr>
                  </w:pPr>
                  <w:r>
                    <w:rPr>
                      <w:rFonts w:hint="eastAsia" w:hAnsi="宋体"/>
                      <w:sz w:val="18"/>
                      <w:szCs w:val="18"/>
                    </w:rPr>
                    <w:t>氨氮</w:t>
                  </w:r>
                </w:p>
              </w:tc>
              <w:tc>
                <w:tcPr>
                  <w:tcW w:w="2300"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rPr>
                  </w:pPr>
                  <w:r>
                    <w:rPr>
                      <w:rFonts w:hint="eastAsia" w:cs="Times New Roman"/>
                      <w:i w:val="0"/>
                      <w:iCs w:val="0"/>
                      <w:color w:val="auto"/>
                      <w:kern w:val="0"/>
                      <w:sz w:val="18"/>
                      <w:szCs w:val="18"/>
                      <w:u w:val="none"/>
                      <w:lang w:val="en-US" w:eastAsia="zh-CN" w:bidi="ar"/>
                    </w:rPr>
                    <w:t>0.147</w:t>
                  </w:r>
                </w:p>
              </w:tc>
              <w:tc>
                <w:tcPr>
                  <w:tcW w:w="113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eastAsia" w:cs="Times New Roman"/>
                      <w:i w:val="0"/>
                      <w:iCs w:val="0"/>
                      <w:color w:val="auto"/>
                      <w:kern w:val="0"/>
                      <w:sz w:val="18"/>
                      <w:szCs w:val="18"/>
                      <w:u w:val="none"/>
                      <w:lang w:val="en-US" w:eastAsia="zh-CN" w:bidi="ar"/>
                    </w:rPr>
                    <w:t>0.147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continue"/>
                  <w:noWrap w:val="0"/>
                  <w:vAlign w:val="center"/>
                </w:tcPr>
                <w:p>
                  <w:pPr>
                    <w:jc w:val="center"/>
                    <w:rPr>
                      <w:rFonts w:hAnsi="宋体"/>
                      <w:sz w:val="18"/>
                      <w:szCs w:val="18"/>
                    </w:rPr>
                  </w:pPr>
                </w:p>
              </w:tc>
              <w:tc>
                <w:tcPr>
                  <w:tcW w:w="1114" w:type="pct"/>
                  <w:gridSpan w:val="2"/>
                  <w:noWrap w:val="0"/>
                  <w:vAlign w:val="center"/>
                </w:tcPr>
                <w:p>
                  <w:pPr>
                    <w:jc w:val="center"/>
                    <w:rPr>
                      <w:rFonts w:hint="eastAsia" w:hAnsi="宋体"/>
                      <w:sz w:val="18"/>
                      <w:szCs w:val="18"/>
                    </w:rPr>
                  </w:pPr>
                  <w:r>
                    <w:rPr>
                      <w:rFonts w:hint="eastAsia" w:hAnsi="宋体"/>
                      <w:sz w:val="18"/>
                      <w:szCs w:val="18"/>
                    </w:rPr>
                    <w:t>总磷</w:t>
                  </w:r>
                </w:p>
              </w:tc>
              <w:tc>
                <w:tcPr>
                  <w:tcW w:w="2300"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rPr>
                  </w:pPr>
                  <w:r>
                    <w:rPr>
                      <w:rFonts w:hint="eastAsia" w:cs="Times New Roman"/>
                      <w:i w:val="0"/>
                      <w:iCs w:val="0"/>
                      <w:color w:val="auto"/>
                      <w:kern w:val="0"/>
                      <w:sz w:val="18"/>
                      <w:szCs w:val="18"/>
                      <w:u w:val="none"/>
                      <w:lang w:val="en-US" w:eastAsia="zh-CN" w:bidi="ar"/>
                    </w:rPr>
                    <w:t>0.002</w:t>
                  </w:r>
                </w:p>
              </w:tc>
              <w:tc>
                <w:tcPr>
                  <w:tcW w:w="113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eastAsia" w:cs="Times New Roman"/>
                      <w:i w:val="0"/>
                      <w:iCs w:val="0"/>
                      <w:color w:val="auto"/>
                      <w:kern w:val="0"/>
                      <w:sz w:val="18"/>
                      <w:szCs w:val="18"/>
                      <w:u w:val="none"/>
                      <w:lang w:val="en-US" w:eastAsia="zh-CN" w:bidi="ar"/>
                    </w:rPr>
                    <w:t>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continue"/>
                  <w:noWrap w:val="0"/>
                  <w:vAlign w:val="center"/>
                </w:tcPr>
                <w:p>
                  <w:pPr>
                    <w:jc w:val="center"/>
                    <w:rPr>
                      <w:rFonts w:hAnsi="宋体"/>
                      <w:sz w:val="18"/>
                      <w:szCs w:val="18"/>
                    </w:rPr>
                  </w:pPr>
                </w:p>
              </w:tc>
              <w:tc>
                <w:tcPr>
                  <w:tcW w:w="1114" w:type="pct"/>
                  <w:gridSpan w:val="2"/>
                  <w:noWrap w:val="0"/>
                  <w:vAlign w:val="center"/>
                </w:tcPr>
                <w:p>
                  <w:pPr>
                    <w:jc w:val="center"/>
                    <w:rPr>
                      <w:rFonts w:hint="eastAsia" w:hAnsi="宋体"/>
                      <w:sz w:val="18"/>
                      <w:szCs w:val="18"/>
                    </w:rPr>
                  </w:pPr>
                  <w:r>
                    <w:rPr>
                      <w:rFonts w:hint="eastAsia" w:hAnsi="宋体"/>
                      <w:sz w:val="18"/>
                      <w:szCs w:val="18"/>
                    </w:rPr>
                    <w:t>总氮</w:t>
                  </w:r>
                </w:p>
              </w:tc>
              <w:tc>
                <w:tcPr>
                  <w:tcW w:w="2300" w:type="pct"/>
                  <w:noWrap w:val="0"/>
                  <w:vAlign w:val="center"/>
                </w:tcPr>
                <w:p>
                  <w:pPr>
                    <w:jc w:val="center"/>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0.2</w:t>
                  </w:r>
                </w:p>
              </w:tc>
              <w:tc>
                <w:tcPr>
                  <w:tcW w:w="1136" w:type="pct"/>
                  <w:noWrap w:val="0"/>
                  <w:vAlign w:val="center"/>
                </w:tcPr>
                <w:p>
                  <w:pPr>
                    <w:jc w:val="center"/>
                    <w:rPr>
                      <w:rFonts w:hint="default" w:ascii="Times New Roman" w:hAnsi="Times New Roman" w:cs="Times New Roman"/>
                      <w:color w:val="auto"/>
                      <w:sz w:val="18"/>
                      <w:szCs w:val="18"/>
                      <w:lang w:val="en-US"/>
                    </w:rPr>
                  </w:pPr>
                  <w:r>
                    <w:rPr>
                      <w:rFonts w:hint="eastAsia" w:cs="Times New Roman"/>
                      <w:color w:val="auto"/>
                      <w:kern w:val="0"/>
                      <w:sz w:val="18"/>
                      <w:szCs w:val="18"/>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8" w:type="pct"/>
                  <w:vMerge w:val="continue"/>
                  <w:noWrap w:val="0"/>
                  <w:vAlign w:val="center"/>
                </w:tcPr>
                <w:p>
                  <w:pPr>
                    <w:jc w:val="center"/>
                    <w:rPr>
                      <w:rFonts w:hAnsi="宋体"/>
                      <w:sz w:val="18"/>
                      <w:szCs w:val="18"/>
                    </w:rPr>
                  </w:pPr>
                </w:p>
              </w:tc>
              <w:tc>
                <w:tcPr>
                  <w:tcW w:w="1114" w:type="pct"/>
                  <w:gridSpan w:val="2"/>
                  <w:noWrap w:val="0"/>
                  <w:vAlign w:val="center"/>
                </w:tcPr>
                <w:p>
                  <w:pPr>
                    <w:jc w:val="center"/>
                    <w:rPr>
                      <w:rFonts w:hint="default" w:hAnsi="宋体" w:eastAsia="宋体"/>
                      <w:sz w:val="18"/>
                      <w:szCs w:val="18"/>
                      <w:lang w:val="en-US" w:eastAsia="zh-CN"/>
                    </w:rPr>
                  </w:pPr>
                  <w:r>
                    <w:rPr>
                      <w:rFonts w:hint="eastAsia" w:hAnsi="宋体"/>
                      <w:sz w:val="18"/>
                      <w:szCs w:val="18"/>
                      <w:lang w:val="en-US" w:eastAsia="zh-CN"/>
                    </w:rPr>
                    <w:t>LAS</w:t>
                  </w:r>
                </w:p>
              </w:tc>
              <w:tc>
                <w:tcPr>
                  <w:tcW w:w="2300" w:type="pct"/>
                  <w:noWrap w:val="0"/>
                  <w:vAlign w:val="center"/>
                </w:tcPr>
                <w:p>
                  <w:pPr>
                    <w:jc w:val="center"/>
                    <w:rPr>
                      <w:rFonts w:hint="default" w:cs="Times New Roman"/>
                      <w:color w:val="auto"/>
                      <w:kern w:val="0"/>
                      <w:sz w:val="18"/>
                      <w:szCs w:val="18"/>
                      <w:lang w:val="en-US" w:eastAsia="zh-CN"/>
                    </w:rPr>
                  </w:pPr>
                  <w:r>
                    <w:rPr>
                      <w:rFonts w:hint="eastAsia" w:cs="Times New Roman"/>
                      <w:color w:val="auto"/>
                      <w:kern w:val="0"/>
                      <w:sz w:val="18"/>
                      <w:szCs w:val="18"/>
                      <w:lang w:val="en-US" w:eastAsia="zh-CN"/>
                    </w:rPr>
                    <w:t>0.087</w:t>
                  </w:r>
                </w:p>
              </w:tc>
              <w:tc>
                <w:tcPr>
                  <w:tcW w:w="1136" w:type="pct"/>
                  <w:noWrap w:val="0"/>
                  <w:vAlign w:val="center"/>
                </w:tcPr>
                <w:p>
                  <w:pPr>
                    <w:jc w:val="center"/>
                    <w:rPr>
                      <w:rFonts w:hint="default" w:ascii="Times New Roman" w:hAnsi="Times New Roman" w:cs="Times New Roman"/>
                      <w:i w:val="0"/>
                      <w:iCs w:val="0"/>
                      <w:color w:val="auto"/>
                      <w:kern w:val="0"/>
                      <w:sz w:val="18"/>
                      <w:szCs w:val="18"/>
                      <w:u w:val="none"/>
                      <w:lang w:val="en-US" w:eastAsia="zh-CN" w:bidi="ar"/>
                    </w:rPr>
                  </w:pPr>
                  <w:r>
                    <w:rPr>
                      <w:rFonts w:hint="eastAsia" w:cs="Times New Roman"/>
                      <w:color w:val="auto"/>
                      <w:kern w:val="0"/>
                      <w:sz w:val="18"/>
                      <w:szCs w:val="18"/>
                      <w:lang w:val="en-US" w:eastAsia="zh-CN"/>
                    </w:rPr>
                    <w:t>0.087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 w:type="pct"/>
                  <w:vMerge w:val="continue"/>
                  <w:noWrap w:val="0"/>
                  <w:vAlign w:val="center"/>
                </w:tcPr>
                <w:p>
                  <w:pPr>
                    <w:jc w:val="center"/>
                    <w:rPr>
                      <w:rFonts w:hAnsi="宋体"/>
                      <w:sz w:val="18"/>
                      <w:szCs w:val="18"/>
                    </w:rPr>
                  </w:pPr>
                </w:p>
              </w:tc>
              <w:tc>
                <w:tcPr>
                  <w:tcW w:w="1114" w:type="pct"/>
                  <w:gridSpan w:val="2"/>
                  <w:noWrap w:val="0"/>
                  <w:vAlign w:val="center"/>
                </w:tcPr>
                <w:p>
                  <w:pPr>
                    <w:jc w:val="center"/>
                    <w:rPr>
                      <w:rFonts w:hint="eastAsia" w:hAnsi="宋体" w:eastAsia="宋体"/>
                      <w:sz w:val="18"/>
                      <w:szCs w:val="18"/>
                      <w:lang w:eastAsia="zh-CN"/>
                    </w:rPr>
                  </w:pPr>
                  <w:r>
                    <w:rPr>
                      <w:rFonts w:hint="eastAsia" w:hAnsi="宋体"/>
                      <w:sz w:val="18"/>
                      <w:szCs w:val="18"/>
                      <w:lang w:eastAsia="zh-CN"/>
                    </w:rPr>
                    <w:t>动植物油</w:t>
                  </w:r>
                </w:p>
              </w:tc>
              <w:tc>
                <w:tcPr>
                  <w:tcW w:w="2300" w:type="pct"/>
                  <w:noWrap w:val="0"/>
                  <w:vAlign w:val="center"/>
                </w:tcPr>
                <w:p>
                  <w:pPr>
                    <w:jc w:val="center"/>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0.001</w:t>
                  </w:r>
                </w:p>
              </w:tc>
              <w:tc>
                <w:tcPr>
                  <w:tcW w:w="1136" w:type="pct"/>
                  <w:noWrap w:val="0"/>
                  <w:vAlign w:val="center"/>
                </w:tcPr>
                <w:p>
                  <w:pPr>
                    <w:jc w:val="center"/>
                    <w:rPr>
                      <w:rFonts w:hint="default" w:ascii="Times New Roman" w:hAnsi="Times New Roman" w:cs="Times New Roman"/>
                      <w:i w:val="0"/>
                      <w:iCs w:val="0"/>
                      <w:color w:val="auto"/>
                      <w:kern w:val="0"/>
                      <w:sz w:val="18"/>
                      <w:szCs w:val="18"/>
                      <w:u w:val="none"/>
                      <w:lang w:val="en-US" w:eastAsia="zh-CN" w:bidi="ar"/>
                    </w:rPr>
                  </w:pPr>
                  <w:r>
                    <w:rPr>
                      <w:rFonts w:hint="eastAsia" w:cs="Times New Roman"/>
                      <w:color w:val="auto"/>
                      <w:kern w:val="0"/>
                      <w:sz w:val="18"/>
                      <w:szCs w:val="18"/>
                      <w:lang w:val="en-US" w:eastAsia="zh-CN"/>
                    </w:rPr>
                    <w:t>0.001</w:t>
                  </w:r>
                </w:p>
              </w:tc>
            </w:tr>
          </w:tbl>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422" w:firstLineChars="200"/>
              <w:textAlignment w:val="auto"/>
              <w:rPr>
                <w:rFonts w:hint="eastAsia"/>
                <w:b/>
                <w:szCs w:val="21"/>
              </w:rPr>
            </w:pPr>
            <w:r>
              <w:rPr>
                <w:rFonts w:hint="eastAsia"/>
                <w:b/>
                <w:szCs w:val="21"/>
              </w:rPr>
              <w:t>现有项目存在的环境问题及以新带老措施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20" w:firstLineChars="200"/>
              <w:textAlignment w:val="auto"/>
              <w:rPr>
                <w:rFonts w:hint="eastAsia"/>
                <w:sz w:val="21"/>
                <w:szCs w:val="21"/>
                <w:lang w:val="en-US" w:eastAsia="zh-CN"/>
              </w:rPr>
            </w:pPr>
            <w:r>
              <w:rPr>
                <w:rFonts w:hint="eastAsia"/>
                <w:sz w:val="21"/>
                <w:szCs w:val="21"/>
                <w:lang w:val="en-US" w:eastAsia="zh-CN"/>
              </w:rPr>
              <w:t>存在的环境问题：现有项目一直未验收，</w:t>
            </w:r>
            <w:r>
              <w:rPr>
                <w:rFonts w:hint="eastAsia"/>
                <w:sz w:val="21"/>
                <w:szCs w:val="21"/>
                <w:highlight w:val="none"/>
                <w:lang w:val="en-US" w:eastAsia="zh-CN"/>
              </w:rPr>
              <w:t>且废水、危废未树立环保标志牌。</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以新带老措施：待本次技改项目完成后，一同验收，且根据根据《环境保护图形标志固体废物贮存（处置）场》（GB15562.2-1995）、危险废物识别标志设置技术规范 （HJ 1276—2022）和危险废物识别标识设置规范设置标志。</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r>
    </w:tbl>
    <w:p>
      <w:pPr>
        <w:pStyle w:val="10"/>
        <w:jc w:val="center"/>
        <w:outlineLvl w:val="0"/>
        <w:rPr>
          <w:rFonts w:hint="eastAsia" w:ascii="黑体" w:hAnsi="黑体" w:eastAsia="黑体"/>
          <w:snapToGrid w:val="0"/>
          <w:sz w:val="30"/>
          <w:szCs w:val="30"/>
        </w:rPr>
      </w:pPr>
    </w:p>
    <w:p>
      <w:pPr>
        <w:pStyle w:val="10"/>
        <w:jc w:val="center"/>
        <w:outlineLvl w:val="0"/>
        <w:rPr>
          <w:rFonts w:hint="eastAsia" w:ascii="黑体" w:hAnsi="黑体" w:eastAsia="黑体"/>
          <w:snapToGrid w:val="0"/>
          <w:sz w:val="30"/>
          <w:szCs w:val="30"/>
        </w:rPr>
      </w:pPr>
    </w:p>
    <w:p>
      <w:pPr>
        <w:pStyle w:val="10"/>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2"/>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bidi w:val="0"/>
              <w:jc w:val="center"/>
            </w:pPr>
            <w:r>
              <w:t>区域</w:t>
            </w:r>
          </w:p>
          <w:p>
            <w:pPr>
              <w:bidi w:val="0"/>
              <w:jc w:val="center"/>
            </w:pPr>
            <w:r>
              <w:t>环境</w:t>
            </w:r>
          </w:p>
          <w:p>
            <w:pPr>
              <w:bidi w:val="0"/>
              <w:jc w:val="center"/>
            </w:pPr>
            <w:r>
              <w:t>质量</w:t>
            </w:r>
          </w:p>
          <w:p>
            <w:pPr>
              <w:bidi w:val="0"/>
              <w:jc w:val="center"/>
              <w:rPr>
                <w:rFonts w:hint="default" w:ascii="Times New Roman" w:hAnsi="Times New Roman" w:cs="Times New Roman"/>
                <w:b/>
                <w:bCs/>
                <w:szCs w:val="21"/>
                <w:vertAlign w:val="baseline"/>
              </w:rPr>
            </w:pPr>
            <w:r>
              <w:t>现状</w:t>
            </w:r>
          </w:p>
        </w:tc>
        <w:tc>
          <w:tcPr>
            <w:tcW w:w="8326" w:type="dxa"/>
          </w:tcPr>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1、大气环境质量现状</w:t>
            </w:r>
          </w:p>
          <w:p>
            <w:pPr>
              <w:spacing w:line="500" w:lineRule="exact"/>
              <w:ind w:firstLine="420" w:firstLineChars="200"/>
              <w:rPr>
                <w:szCs w:val="21"/>
              </w:rPr>
            </w:pPr>
            <w:r>
              <w:rPr>
                <w:szCs w:val="21"/>
              </w:rPr>
              <w:t>本项目可引用《202</w:t>
            </w:r>
            <w:r>
              <w:rPr>
                <w:rFonts w:hint="eastAsia"/>
                <w:szCs w:val="21"/>
              </w:rPr>
              <w:t>2</w:t>
            </w:r>
            <w:r>
              <w:rPr>
                <w:szCs w:val="21"/>
              </w:rPr>
              <w:t>年度南通市生态环境状况公报》中</w:t>
            </w:r>
            <w:r>
              <w:rPr>
                <w:rFonts w:hint="eastAsia"/>
                <w:szCs w:val="21"/>
                <w:lang w:eastAsia="zh-CN"/>
              </w:rPr>
              <w:t>启东市</w:t>
            </w:r>
            <w:r>
              <w:rPr>
                <w:szCs w:val="21"/>
              </w:rPr>
              <w:t>统计结果，主要空气污染物指标监测结果见表3-1。</w:t>
            </w:r>
          </w:p>
          <w:p>
            <w:pPr>
              <w:spacing w:line="360" w:lineRule="auto"/>
              <w:jc w:val="center"/>
              <w:rPr>
                <w:b/>
                <w:bCs/>
                <w:szCs w:val="21"/>
              </w:rPr>
            </w:pPr>
            <w:r>
              <w:rPr>
                <w:b/>
                <w:bCs/>
                <w:szCs w:val="21"/>
              </w:rPr>
              <w:t>表 3-1</w:t>
            </w:r>
            <w:r>
              <w:rPr>
                <w:rFonts w:hint="eastAsia"/>
                <w:b/>
                <w:bCs/>
                <w:szCs w:val="21"/>
              </w:rPr>
              <w:t xml:space="preserve"> </w:t>
            </w:r>
            <w:r>
              <w:rPr>
                <w:b/>
                <w:bCs/>
                <w:szCs w:val="21"/>
              </w:rPr>
              <w:t>环境空气质量监测结果</w:t>
            </w:r>
          </w:p>
          <w:tbl>
            <w:tblPr>
              <w:tblStyle w:val="11"/>
              <w:tblW w:w="8056" w:type="dxa"/>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919"/>
              <w:gridCol w:w="2077"/>
              <w:gridCol w:w="954"/>
              <w:gridCol w:w="1091"/>
              <w:gridCol w:w="1028"/>
              <w:gridCol w:w="961"/>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026" w:type="dxa"/>
                  <w:vAlign w:val="center"/>
                </w:tcPr>
                <w:p>
                  <w:pPr>
                    <w:jc w:val="center"/>
                    <w:rPr>
                      <w:sz w:val="18"/>
                      <w:szCs w:val="18"/>
                    </w:rPr>
                  </w:pPr>
                  <w:r>
                    <w:rPr>
                      <w:sz w:val="18"/>
                      <w:szCs w:val="18"/>
                    </w:rPr>
                    <w:t>点位名称</w:t>
                  </w:r>
                </w:p>
              </w:tc>
              <w:tc>
                <w:tcPr>
                  <w:tcW w:w="919" w:type="dxa"/>
                  <w:vAlign w:val="center"/>
                </w:tcPr>
                <w:p>
                  <w:pPr>
                    <w:jc w:val="center"/>
                    <w:rPr>
                      <w:sz w:val="18"/>
                      <w:szCs w:val="18"/>
                    </w:rPr>
                  </w:pPr>
                  <w:r>
                    <w:rPr>
                      <w:sz w:val="18"/>
                      <w:szCs w:val="18"/>
                    </w:rPr>
                    <w:t>污染物</w:t>
                  </w:r>
                </w:p>
              </w:tc>
              <w:tc>
                <w:tcPr>
                  <w:tcW w:w="2077" w:type="dxa"/>
                  <w:vAlign w:val="center"/>
                </w:tcPr>
                <w:p>
                  <w:pPr>
                    <w:jc w:val="center"/>
                    <w:rPr>
                      <w:sz w:val="18"/>
                      <w:szCs w:val="18"/>
                    </w:rPr>
                  </w:pPr>
                  <w:r>
                    <w:rPr>
                      <w:sz w:val="18"/>
                      <w:szCs w:val="18"/>
                    </w:rPr>
                    <w:t>年评价指标</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评价标准μg/m</w:t>
                  </w:r>
                  <w:r>
                    <w:rPr>
                      <w:sz w:val="18"/>
                      <w:szCs w:val="18"/>
                      <w:vertAlign w:val="superscript"/>
                    </w:rPr>
                    <w:t>3</w:t>
                  </w:r>
                </w:p>
              </w:tc>
              <w:tc>
                <w:tcPr>
                  <w:tcW w:w="10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现状浓度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μg/m</w:t>
                  </w:r>
                  <w:r>
                    <w:rPr>
                      <w:sz w:val="18"/>
                      <w:szCs w:val="18"/>
                      <w:vertAlign w:val="superscript"/>
                    </w:rPr>
                    <w:t>3</w:t>
                  </w:r>
                </w:p>
              </w:tc>
              <w:tc>
                <w:tcPr>
                  <w:tcW w:w="1028" w:type="dxa"/>
                  <w:vAlign w:val="center"/>
                </w:tcPr>
                <w:p>
                  <w:pPr>
                    <w:jc w:val="center"/>
                    <w:rPr>
                      <w:sz w:val="18"/>
                      <w:szCs w:val="18"/>
                    </w:rPr>
                  </w:pPr>
                  <w:r>
                    <w:rPr>
                      <w:sz w:val="18"/>
                      <w:szCs w:val="18"/>
                    </w:rPr>
                    <w:t>超标倍数</w:t>
                  </w:r>
                </w:p>
              </w:tc>
              <w:tc>
                <w:tcPr>
                  <w:tcW w:w="961" w:type="dxa"/>
                  <w:vAlign w:val="center"/>
                </w:tcPr>
                <w:p>
                  <w:pPr>
                    <w:jc w:val="center"/>
                    <w:rPr>
                      <w:sz w:val="18"/>
                      <w:szCs w:val="18"/>
                    </w:rPr>
                  </w:pPr>
                  <w:r>
                    <w:rPr>
                      <w:sz w:val="18"/>
                      <w:szCs w:val="18"/>
                    </w:rPr>
                    <w:t>达标情况</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1026" w:type="dxa"/>
                  <w:vMerge w:val="restart"/>
                  <w:vAlign w:val="center"/>
                </w:tcPr>
                <w:p>
                  <w:pPr>
                    <w:jc w:val="center"/>
                    <w:rPr>
                      <w:sz w:val="18"/>
                      <w:szCs w:val="18"/>
                    </w:rPr>
                  </w:pPr>
                  <w:r>
                    <w:rPr>
                      <w:sz w:val="18"/>
                      <w:szCs w:val="18"/>
                    </w:rPr>
                    <w:t>南通自动监测站</w:t>
                  </w:r>
                </w:p>
              </w:tc>
              <w:tc>
                <w:tcPr>
                  <w:tcW w:w="919" w:type="dxa"/>
                  <w:vAlign w:val="center"/>
                </w:tcPr>
                <w:p>
                  <w:pPr>
                    <w:jc w:val="center"/>
                    <w:rPr>
                      <w:sz w:val="18"/>
                      <w:szCs w:val="18"/>
                    </w:rPr>
                  </w:pPr>
                  <w:r>
                    <w:rPr>
                      <w:sz w:val="18"/>
                      <w:szCs w:val="18"/>
                    </w:rPr>
                    <w:t>SO</w:t>
                  </w:r>
                  <w:r>
                    <w:rPr>
                      <w:sz w:val="18"/>
                      <w:szCs w:val="18"/>
                      <w:vertAlign w:val="subscript"/>
                    </w:rPr>
                    <w:t>2</w:t>
                  </w:r>
                </w:p>
              </w:tc>
              <w:tc>
                <w:tcPr>
                  <w:tcW w:w="2077" w:type="dxa"/>
                  <w:vAlign w:val="center"/>
                </w:tcPr>
                <w:p>
                  <w:pPr>
                    <w:jc w:val="center"/>
                    <w:rPr>
                      <w:sz w:val="18"/>
                      <w:szCs w:val="18"/>
                    </w:rPr>
                  </w:pPr>
                  <w:r>
                    <w:rPr>
                      <w:sz w:val="18"/>
                      <w:szCs w:val="18"/>
                    </w:rPr>
                    <w:t>年平均</w:t>
                  </w:r>
                </w:p>
              </w:tc>
              <w:tc>
                <w:tcPr>
                  <w:tcW w:w="954" w:type="dxa"/>
                  <w:vAlign w:val="center"/>
                </w:tcPr>
                <w:p>
                  <w:pPr>
                    <w:jc w:val="center"/>
                    <w:rPr>
                      <w:sz w:val="18"/>
                      <w:szCs w:val="18"/>
                    </w:rPr>
                  </w:pPr>
                  <w:r>
                    <w:rPr>
                      <w:sz w:val="18"/>
                      <w:szCs w:val="18"/>
                    </w:rPr>
                    <w:t>60</w:t>
                  </w:r>
                </w:p>
              </w:tc>
              <w:tc>
                <w:tcPr>
                  <w:tcW w:w="1091" w:type="dxa"/>
                  <w:vAlign w:val="center"/>
                </w:tcPr>
                <w:p>
                  <w:pPr>
                    <w:jc w:val="center"/>
                    <w:rPr>
                      <w:rFonts w:hint="eastAsia" w:eastAsia="宋体"/>
                      <w:sz w:val="18"/>
                      <w:szCs w:val="18"/>
                      <w:lang w:eastAsia="zh-CN"/>
                    </w:rPr>
                  </w:pPr>
                  <w:r>
                    <w:rPr>
                      <w:rFonts w:hint="eastAsia"/>
                      <w:sz w:val="18"/>
                      <w:szCs w:val="18"/>
                      <w:lang w:val="en-US" w:eastAsia="zh-CN"/>
                    </w:rPr>
                    <w:t>8</w:t>
                  </w:r>
                </w:p>
              </w:tc>
              <w:tc>
                <w:tcPr>
                  <w:tcW w:w="1028" w:type="dxa"/>
                  <w:vAlign w:val="center"/>
                </w:tcPr>
                <w:p>
                  <w:pPr>
                    <w:jc w:val="center"/>
                    <w:rPr>
                      <w:sz w:val="18"/>
                      <w:szCs w:val="18"/>
                    </w:rPr>
                  </w:pPr>
                  <w:r>
                    <w:rPr>
                      <w:sz w:val="18"/>
                      <w:szCs w:val="18"/>
                    </w:rPr>
                    <w:t>0</w:t>
                  </w:r>
                </w:p>
              </w:tc>
              <w:tc>
                <w:tcPr>
                  <w:tcW w:w="961" w:type="dxa"/>
                  <w:vAlign w:val="center"/>
                </w:tcPr>
                <w:p>
                  <w:pPr>
                    <w:jc w:val="center"/>
                    <w:rPr>
                      <w:sz w:val="18"/>
                      <w:szCs w:val="18"/>
                    </w:rPr>
                  </w:pPr>
                  <w:r>
                    <w:rPr>
                      <w:sz w:val="18"/>
                      <w:szCs w:val="18"/>
                    </w:rPr>
                    <w:t>达标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1026" w:type="dxa"/>
                  <w:vMerge w:val="continue"/>
                  <w:vAlign w:val="center"/>
                </w:tcPr>
                <w:p>
                  <w:pPr>
                    <w:jc w:val="center"/>
                    <w:rPr>
                      <w:sz w:val="18"/>
                      <w:szCs w:val="18"/>
                    </w:rPr>
                  </w:pPr>
                </w:p>
              </w:tc>
              <w:tc>
                <w:tcPr>
                  <w:tcW w:w="919" w:type="dxa"/>
                  <w:vAlign w:val="center"/>
                </w:tcPr>
                <w:p>
                  <w:pPr>
                    <w:jc w:val="center"/>
                    <w:rPr>
                      <w:sz w:val="18"/>
                      <w:szCs w:val="18"/>
                    </w:rPr>
                  </w:pPr>
                  <w:r>
                    <w:rPr>
                      <w:sz w:val="18"/>
                      <w:szCs w:val="18"/>
                    </w:rPr>
                    <w:t>NO</w:t>
                  </w:r>
                  <w:r>
                    <w:rPr>
                      <w:sz w:val="18"/>
                      <w:szCs w:val="18"/>
                      <w:vertAlign w:val="subscript"/>
                    </w:rPr>
                    <w:t>2</w:t>
                  </w:r>
                </w:p>
              </w:tc>
              <w:tc>
                <w:tcPr>
                  <w:tcW w:w="2077" w:type="dxa"/>
                  <w:vAlign w:val="center"/>
                </w:tcPr>
                <w:p>
                  <w:pPr>
                    <w:jc w:val="center"/>
                    <w:rPr>
                      <w:sz w:val="18"/>
                      <w:szCs w:val="18"/>
                    </w:rPr>
                  </w:pPr>
                  <w:r>
                    <w:rPr>
                      <w:sz w:val="18"/>
                      <w:szCs w:val="18"/>
                    </w:rPr>
                    <w:t>年平均</w:t>
                  </w:r>
                </w:p>
              </w:tc>
              <w:tc>
                <w:tcPr>
                  <w:tcW w:w="954" w:type="dxa"/>
                  <w:vAlign w:val="center"/>
                </w:tcPr>
                <w:p>
                  <w:pPr>
                    <w:jc w:val="center"/>
                    <w:rPr>
                      <w:sz w:val="18"/>
                      <w:szCs w:val="18"/>
                    </w:rPr>
                  </w:pPr>
                  <w:r>
                    <w:rPr>
                      <w:sz w:val="18"/>
                      <w:szCs w:val="18"/>
                    </w:rPr>
                    <w:t>40</w:t>
                  </w:r>
                </w:p>
              </w:tc>
              <w:tc>
                <w:tcPr>
                  <w:tcW w:w="1091" w:type="dxa"/>
                  <w:vAlign w:val="center"/>
                </w:tcPr>
                <w:p>
                  <w:pPr>
                    <w:jc w:val="center"/>
                    <w:rPr>
                      <w:rFonts w:hint="default" w:eastAsia="宋体"/>
                      <w:sz w:val="18"/>
                      <w:szCs w:val="18"/>
                      <w:lang w:val="en-US" w:eastAsia="zh-CN"/>
                    </w:rPr>
                  </w:pPr>
                  <w:r>
                    <w:rPr>
                      <w:rFonts w:hint="eastAsia"/>
                      <w:sz w:val="18"/>
                      <w:szCs w:val="18"/>
                      <w:lang w:val="en-US" w:eastAsia="zh-CN"/>
                    </w:rPr>
                    <w:t>15</w:t>
                  </w:r>
                </w:p>
              </w:tc>
              <w:tc>
                <w:tcPr>
                  <w:tcW w:w="1028" w:type="dxa"/>
                  <w:vAlign w:val="center"/>
                </w:tcPr>
                <w:p>
                  <w:pPr>
                    <w:jc w:val="center"/>
                    <w:rPr>
                      <w:sz w:val="18"/>
                      <w:szCs w:val="18"/>
                    </w:rPr>
                  </w:pPr>
                  <w:r>
                    <w:rPr>
                      <w:sz w:val="18"/>
                      <w:szCs w:val="18"/>
                    </w:rPr>
                    <w:t>0</w:t>
                  </w:r>
                </w:p>
              </w:tc>
              <w:tc>
                <w:tcPr>
                  <w:tcW w:w="961" w:type="dxa"/>
                  <w:vAlign w:val="center"/>
                </w:tcPr>
                <w:p>
                  <w:pPr>
                    <w:jc w:val="center"/>
                    <w:rPr>
                      <w:sz w:val="18"/>
                      <w:szCs w:val="18"/>
                    </w:rPr>
                  </w:pPr>
                  <w:r>
                    <w:rPr>
                      <w:sz w:val="18"/>
                      <w:szCs w:val="18"/>
                    </w:rPr>
                    <w:t>达标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1026" w:type="dxa"/>
                  <w:vMerge w:val="continue"/>
                  <w:vAlign w:val="center"/>
                </w:tcPr>
                <w:p>
                  <w:pPr>
                    <w:jc w:val="center"/>
                    <w:rPr>
                      <w:sz w:val="18"/>
                      <w:szCs w:val="18"/>
                    </w:rPr>
                  </w:pPr>
                </w:p>
              </w:tc>
              <w:tc>
                <w:tcPr>
                  <w:tcW w:w="919" w:type="dxa"/>
                  <w:vAlign w:val="center"/>
                </w:tcPr>
                <w:p>
                  <w:pPr>
                    <w:jc w:val="center"/>
                    <w:rPr>
                      <w:sz w:val="18"/>
                      <w:szCs w:val="18"/>
                    </w:rPr>
                  </w:pPr>
                  <w:r>
                    <w:rPr>
                      <w:sz w:val="18"/>
                      <w:szCs w:val="18"/>
                    </w:rPr>
                    <w:t>PM</w:t>
                  </w:r>
                  <w:r>
                    <w:rPr>
                      <w:sz w:val="18"/>
                      <w:szCs w:val="18"/>
                      <w:vertAlign w:val="subscript"/>
                    </w:rPr>
                    <w:t>10</w:t>
                  </w:r>
                </w:p>
              </w:tc>
              <w:tc>
                <w:tcPr>
                  <w:tcW w:w="2077" w:type="dxa"/>
                  <w:vAlign w:val="center"/>
                </w:tcPr>
                <w:p>
                  <w:pPr>
                    <w:jc w:val="center"/>
                    <w:rPr>
                      <w:sz w:val="18"/>
                      <w:szCs w:val="18"/>
                    </w:rPr>
                  </w:pPr>
                  <w:r>
                    <w:rPr>
                      <w:sz w:val="18"/>
                      <w:szCs w:val="18"/>
                    </w:rPr>
                    <w:t>年平均</w:t>
                  </w:r>
                </w:p>
              </w:tc>
              <w:tc>
                <w:tcPr>
                  <w:tcW w:w="954" w:type="dxa"/>
                  <w:vAlign w:val="center"/>
                </w:tcPr>
                <w:p>
                  <w:pPr>
                    <w:jc w:val="center"/>
                    <w:rPr>
                      <w:sz w:val="18"/>
                      <w:szCs w:val="18"/>
                    </w:rPr>
                  </w:pPr>
                  <w:r>
                    <w:rPr>
                      <w:sz w:val="18"/>
                      <w:szCs w:val="18"/>
                    </w:rPr>
                    <w:t>70</w:t>
                  </w:r>
                </w:p>
              </w:tc>
              <w:tc>
                <w:tcPr>
                  <w:tcW w:w="1091" w:type="dxa"/>
                  <w:vAlign w:val="center"/>
                </w:tcPr>
                <w:p>
                  <w:pPr>
                    <w:jc w:val="center"/>
                    <w:rPr>
                      <w:rFonts w:hint="default" w:eastAsia="宋体"/>
                      <w:sz w:val="18"/>
                      <w:szCs w:val="18"/>
                      <w:lang w:val="en-US" w:eastAsia="zh-CN"/>
                    </w:rPr>
                  </w:pPr>
                  <w:r>
                    <w:rPr>
                      <w:rFonts w:hint="eastAsia"/>
                      <w:sz w:val="18"/>
                      <w:szCs w:val="18"/>
                      <w:lang w:val="en-US" w:eastAsia="zh-CN"/>
                    </w:rPr>
                    <w:t>40</w:t>
                  </w:r>
                </w:p>
              </w:tc>
              <w:tc>
                <w:tcPr>
                  <w:tcW w:w="1028" w:type="dxa"/>
                  <w:vAlign w:val="center"/>
                </w:tcPr>
                <w:p>
                  <w:pPr>
                    <w:jc w:val="center"/>
                    <w:rPr>
                      <w:sz w:val="18"/>
                      <w:szCs w:val="18"/>
                    </w:rPr>
                  </w:pPr>
                  <w:r>
                    <w:rPr>
                      <w:sz w:val="18"/>
                      <w:szCs w:val="18"/>
                    </w:rPr>
                    <w:t>0</w:t>
                  </w:r>
                </w:p>
              </w:tc>
              <w:tc>
                <w:tcPr>
                  <w:tcW w:w="961" w:type="dxa"/>
                  <w:vAlign w:val="center"/>
                </w:tcPr>
                <w:p>
                  <w:pPr>
                    <w:jc w:val="center"/>
                    <w:rPr>
                      <w:sz w:val="18"/>
                      <w:szCs w:val="18"/>
                    </w:rPr>
                  </w:pPr>
                  <w:r>
                    <w:rPr>
                      <w:sz w:val="18"/>
                      <w:szCs w:val="18"/>
                    </w:rPr>
                    <w:t>达标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1026" w:type="dxa"/>
                  <w:vMerge w:val="continue"/>
                  <w:vAlign w:val="center"/>
                </w:tcPr>
                <w:p>
                  <w:pPr>
                    <w:jc w:val="center"/>
                    <w:rPr>
                      <w:sz w:val="18"/>
                      <w:szCs w:val="18"/>
                    </w:rPr>
                  </w:pPr>
                </w:p>
              </w:tc>
              <w:tc>
                <w:tcPr>
                  <w:tcW w:w="919" w:type="dxa"/>
                  <w:vAlign w:val="center"/>
                </w:tcPr>
                <w:p>
                  <w:pPr>
                    <w:jc w:val="center"/>
                    <w:rPr>
                      <w:sz w:val="18"/>
                      <w:szCs w:val="18"/>
                    </w:rPr>
                  </w:pPr>
                  <w:r>
                    <w:rPr>
                      <w:sz w:val="18"/>
                      <w:szCs w:val="18"/>
                    </w:rPr>
                    <w:t>PM</w:t>
                  </w:r>
                  <w:r>
                    <w:rPr>
                      <w:sz w:val="18"/>
                      <w:szCs w:val="18"/>
                      <w:vertAlign w:val="subscript"/>
                    </w:rPr>
                    <w:t>2.5</w:t>
                  </w:r>
                </w:p>
              </w:tc>
              <w:tc>
                <w:tcPr>
                  <w:tcW w:w="2077" w:type="dxa"/>
                  <w:vAlign w:val="center"/>
                </w:tcPr>
                <w:p>
                  <w:pPr>
                    <w:jc w:val="center"/>
                    <w:rPr>
                      <w:sz w:val="18"/>
                      <w:szCs w:val="18"/>
                    </w:rPr>
                  </w:pPr>
                  <w:r>
                    <w:rPr>
                      <w:sz w:val="18"/>
                      <w:szCs w:val="18"/>
                    </w:rPr>
                    <w:t>年平均</w:t>
                  </w:r>
                </w:p>
              </w:tc>
              <w:tc>
                <w:tcPr>
                  <w:tcW w:w="954" w:type="dxa"/>
                  <w:vAlign w:val="center"/>
                </w:tcPr>
                <w:p>
                  <w:pPr>
                    <w:jc w:val="center"/>
                    <w:rPr>
                      <w:sz w:val="18"/>
                      <w:szCs w:val="18"/>
                    </w:rPr>
                  </w:pPr>
                  <w:r>
                    <w:rPr>
                      <w:sz w:val="18"/>
                      <w:szCs w:val="18"/>
                    </w:rPr>
                    <w:t>35</w:t>
                  </w:r>
                </w:p>
              </w:tc>
              <w:tc>
                <w:tcPr>
                  <w:tcW w:w="1091" w:type="dxa"/>
                  <w:vAlign w:val="center"/>
                </w:tcPr>
                <w:p>
                  <w:pPr>
                    <w:jc w:val="center"/>
                    <w:rPr>
                      <w:rFonts w:hint="default" w:eastAsia="宋体"/>
                      <w:sz w:val="18"/>
                      <w:szCs w:val="18"/>
                      <w:lang w:val="en-US" w:eastAsia="zh-CN"/>
                    </w:rPr>
                  </w:pPr>
                  <w:r>
                    <w:rPr>
                      <w:rFonts w:hint="eastAsia"/>
                      <w:sz w:val="18"/>
                      <w:szCs w:val="18"/>
                      <w:lang w:val="en-US" w:eastAsia="zh-CN"/>
                    </w:rPr>
                    <w:t>23</w:t>
                  </w:r>
                </w:p>
              </w:tc>
              <w:tc>
                <w:tcPr>
                  <w:tcW w:w="1028" w:type="dxa"/>
                  <w:vAlign w:val="center"/>
                </w:tcPr>
                <w:p>
                  <w:pPr>
                    <w:jc w:val="center"/>
                    <w:rPr>
                      <w:sz w:val="18"/>
                      <w:szCs w:val="18"/>
                    </w:rPr>
                  </w:pPr>
                  <w:r>
                    <w:rPr>
                      <w:sz w:val="18"/>
                      <w:szCs w:val="18"/>
                    </w:rPr>
                    <w:t>0</w:t>
                  </w:r>
                </w:p>
              </w:tc>
              <w:tc>
                <w:tcPr>
                  <w:tcW w:w="961" w:type="dxa"/>
                  <w:vAlign w:val="center"/>
                </w:tcPr>
                <w:p>
                  <w:pPr>
                    <w:jc w:val="center"/>
                    <w:rPr>
                      <w:sz w:val="18"/>
                      <w:szCs w:val="18"/>
                    </w:rPr>
                  </w:pPr>
                  <w:r>
                    <w:rPr>
                      <w:sz w:val="18"/>
                      <w:szCs w:val="18"/>
                    </w:rPr>
                    <w:t>达标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1026" w:type="dxa"/>
                  <w:vMerge w:val="continue"/>
                  <w:vAlign w:val="center"/>
                </w:tcPr>
                <w:p>
                  <w:pPr>
                    <w:jc w:val="center"/>
                    <w:rPr>
                      <w:sz w:val="18"/>
                      <w:szCs w:val="18"/>
                    </w:rPr>
                  </w:pPr>
                </w:p>
              </w:tc>
              <w:tc>
                <w:tcPr>
                  <w:tcW w:w="919" w:type="dxa"/>
                  <w:vAlign w:val="center"/>
                </w:tcPr>
                <w:p>
                  <w:pPr>
                    <w:jc w:val="center"/>
                    <w:rPr>
                      <w:sz w:val="18"/>
                      <w:szCs w:val="18"/>
                    </w:rPr>
                  </w:pPr>
                  <w:r>
                    <w:rPr>
                      <w:sz w:val="18"/>
                      <w:szCs w:val="18"/>
                    </w:rPr>
                    <w:t>CO</w:t>
                  </w:r>
                </w:p>
              </w:tc>
              <w:tc>
                <w:tcPr>
                  <w:tcW w:w="2077" w:type="dxa"/>
                  <w:vAlign w:val="center"/>
                </w:tcPr>
                <w:p>
                  <w:pPr>
                    <w:jc w:val="center"/>
                    <w:rPr>
                      <w:sz w:val="18"/>
                      <w:szCs w:val="18"/>
                    </w:rPr>
                  </w:pPr>
                  <w:r>
                    <w:rPr>
                      <w:sz w:val="18"/>
                      <w:szCs w:val="18"/>
                    </w:rPr>
                    <w:t>年平均第95百分位数</w:t>
                  </w:r>
                </w:p>
              </w:tc>
              <w:tc>
                <w:tcPr>
                  <w:tcW w:w="954" w:type="dxa"/>
                  <w:vAlign w:val="center"/>
                </w:tcPr>
                <w:p>
                  <w:pPr>
                    <w:jc w:val="center"/>
                    <w:rPr>
                      <w:sz w:val="18"/>
                      <w:szCs w:val="18"/>
                    </w:rPr>
                  </w:pPr>
                  <w:r>
                    <w:rPr>
                      <w:sz w:val="18"/>
                      <w:szCs w:val="18"/>
                    </w:rPr>
                    <w:t>4mg/m</w:t>
                  </w:r>
                  <w:r>
                    <w:rPr>
                      <w:sz w:val="18"/>
                      <w:szCs w:val="18"/>
                      <w:vertAlign w:val="superscript"/>
                    </w:rPr>
                    <w:t>3</w:t>
                  </w:r>
                </w:p>
              </w:tc>
              <w:tc>
                <w:tcPr>
                  <w:tcW w:w="1091" w:type="dxa"/>
                  <w:vAlign w:val="center"/>
                </w:tcPr>
                <w:p>
                  <w:pPr>
                    <w:jc w:val="center"/>
                    <w:rPr>
                      <w:sz w:val="18"/>
                      <w:szCs w:val="18"/>
                    </w:rPr>
                  </w:pPr>
                  <w:r>
                    <w:rPr>
                      <w:rFonts w:hint="eastAsia"/>
                      <w:sz w:val="18"/>
                      <w:szCs w:val="18"/>
                      <w:lang w:val="en-US" w:eastAsia="zh-CN"/>
                    </w:rPr>
                    <w:t>0.9</w:t>
                  </w:r>
                  <w:r>
                    <w:rPr>
                      <w:sz w:val="18"/>
                      <w:szCs w:val="18"/>
                    </w:rPr>
                    <w:t>mg/m</w:t>
                  </w:r>
                  <w:r>
                    <w:rPr>
                      <w:sz w:val="18"/>
                      <w:szCs w:val="18"/>
                      <w:vertAlign w:val="superscript"/>
                    </w:rPr>
                    <w:t>3</w:t>
                  </w:r>
                </w:p>
              </w:tc>
              <w:tc>
                <w:tcPr>
                  <w:tcW w:w="1028" w:type="dxa"/>
                  <w:vAlign w:val="center"/>
                </w:tcPr>
                <w:p>
                  <w:pPr>
                    <w:jc w:val="center"/>
                    <w:rPr>
                      <w:sz w:val="18"/>
                      <w:szCs w:val="18"/>
                    </w:rPr>
                  </w:pPr>
                  <w:r>
                    <w:rPr>
                      <w:sz w:val="18"/>
                      <w:szCs w:val="18"/>
                    </w:rPr>
                    <w:t>0</w:t>
                  </w:r>
                </w:p>
              </w:tc>
              <w:tc>
                <w:tcPr>
                  <w:tcW w:w="961" w:type="dxa"/>
                  <w:vAlign w:val="center"/>
                </w:tcPr>
                <w:p>
                  <w:pPr>
                    <w:jc w:val="center"/>
                    <w:rPr>
                      <w:sz w:val="18"/>
                      <w:szCs w:val="18"/>
                    </w:rPr>
                  </w:pPr>
                  <w:r>
                    <w:rPr>
                      <w:sz w:val="18"/>
                      <w:szCs w:val="18"/>
                    </w:rPr>
                    <w:t>达标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026" w:type="dxa"/>
                  <w:vMerge w:val="continue"/>
                  <w:vAlign w:val="center"/>
                </w:tcPr>
                <w:p>
                  <w:pPr>
                    <w:jc w:val="center"/>
                    <w:rPr>
                      <w:sz w:val="18"/>
                      <w:szCs w:val="18"/>
                    </w:rPr>
                  </w:pPr>
                </w:p>
              </w:tc>
              <w:tc>
                <w:tcPr>
                  <w:tcW w:w="919" w:type="dxa"/>
                  <w:vAlign w:val="center"/>
                </w:tcPr>
                <w:p>
                  <w:pPr>
                    <w:jc w:val="center"/>
                    <w:rPr>
                      <w:sz w:val="18"/>
                      <w:szCs w:val="18"/>
                    </w:rPr>
                  </w:pPr>
                  <w:r>
                    <w:rPr>
                      <w:sz w:val="18"/>
                      <w:szCs w:val="18"/>
                    </w:rPr>
                    <w:t>O</w:t>
                  </w:r>
                  <w:r>
                    <w:rPr>
                      <w:sz w:val="18"/>
                      <w:szCs w:val="18"/>
                      <w:vertAlign w:val="subscript"/>
                    </w:rPr>
                    <w:t>3</w:t>
                  </w:r>
                </w:p>
              </w:tc>
              <w:tc>
                <w:tcPr>
                  <w:tcW w:w="2077" w:type="dxa"/>
                  <w:vAlign w:val="center"/>
                </w:tcPr>
                <w:p>
                  <w:pPr>
                    <w:jc w:val="center"/>
                    <w:rPr>
                      <w:sz w:val="18"/>
                      <w:szCs w:val="18"/>
                    </w:rPr>
                  </w:pPr>
                  <w:r>
                    <w:rPr>
                      <w:sz w:val="18"/>
                      <w:szCs w:val="18"/>
                    </w:rPr>
                    <w:t>日最大8小时滑动平均值的第90百分位数</w:t>
                  </w:r>
                </w:p>
              </w:tc>
              <w:tc>
                <w:tcPr>
                  <w:tcW w:w="954" w:type="dxa"/>
                  <w:vAlign w:val="center"/>
                </w:tcPr>
                <w:p>
                  <w:pPr>
                    <w:jc w:val="center"/>
                    <w:rPr>
                      <w:sz w:val="18"/>
                      <w:szCs w:val="18"/>
                    </w:rPr>
                  </w:pPr>
                  <w:r>
                    <w:rPr>
                      <w:sz w:val="18"/>
                      <w:szCs w:val="18"/>
                    </w:rPr>
                    <w:t>160</w:t>
                  </w:r>
                </w:p>
              </w:tc>
              <w:tc>
                <w:tcPr>
                  <w:tcW w:w="1091" w:type="dxa"/>
                  <w:vAlign w:val="center"/>
                </w:tcPr>
                <w:p>
                  <w:pPr>
                    <w:jc w:val="center"/>
                    <w:rPr>
                      <w:rFonts w:hint="eastAsia" w:eastAsia="宋体"/>
                      <w:sz w:val="18"/>
                      <w:szCs w:val="18"/>
                      <w:lang w:eastAsia="zh-CN"/>
                    </w:rPr>
                  </w:pPr>
                  <w:r>
                    <w:rPr>
                      <w:sz w:val="18"/>
                      <w:szCs w:val="18"/>
                    </w:rPr>
                    <w:t>17</w:t>
                  </w:r>
                  <w:r>
                    <w:rPr>
                      <w:rFonts w:hint="eastAsia"/>
                      <w:sz w:val="18"/>
                      <w:szCs w:val="18"/>
                      <w:lang w:val="en-US" w:eastAsia="zh-CN"/>
                    </w:rPr>
                    <w:t>3</w:t>
                  </w:r>
                </w:p>
              </w:tc>
              <w:tc>
                <w:tcPr>
                  <w:tcW w:w="1028" w:type="dxa"/>
                  <w:vAlign w:val="center"/>
                </w:tcPr>
                <w:p>
                  <w:pPr>
                    <w:jc w:val="center"/>
                    <w:rPr>
                      <w:rFonts w:hint="default" w:eastAsia="宋体"/>
                      <w:sz w:val="18"/>
                      <w:szCs w:val="18"/>
                      <w:lang w:val="en-US" w:eastAsia="zh-CN"/>
                    </w:rPr>
                  </w:pPr>
                  <w:r>
                    <w:rPr>
                      <w:rFonts w:hint="eastAsia"/>
                      <w:sz w:val="18"/>
                      <w:szCs w:val="18"/>
                      <w:lang w:val="en-US" w:eastAsia="zh-CN"/>
                    </w:rPr>
                    <w:t>0.081</w:t>
                  </w:r>
                </w:p>
              </w:tc>
              <w:tc>
                <w:tcPr>
                  <w:tcW w:w="961" w:type="dxa"/>
                  <w:vAlign w:val="center"/>
                </w:tcPr>
                <w:p>
                  <w:pPr>
                    <w:jc w:val="center"/>
                    <w:rPr>
                      <w:sz w:val="18"/>
                      <w:szCs w:val="18"/>
                    </w:rPr>
                  </w:pPr>
                  <w:r>
                    <w:rPr>
                      <w:sz w:val="18"/>
                      <w:szCs w:val="18"/>
                    </w:rPr>
                    <w:t>超标</w:t>
                  </w:r>
                </w:p>
              </w:tc>
            </w:tr>
          </w:tbl>
          <w:p>
            <w:pPr>
              <w:spacing w:line="480" w:lineRule="exact"/>
              <w:ind w:firstLine="508"/>
              <w:rPr>
                <w:spacing w:val="-4"/>
                <w:szCs w:val="21"/>
              </w:rPr>
            </w:pPr>
            <w:r>
              <w:rPr>
                <w:spacing w:val="-4"/>
                <w:szCs w:val="21"/>
              </w:rPr>
              <w:t>由表</w:t>
            </w:r>
            <w:r>
              <w:rPr>
                <w:rFonts w:eastAsia="Times New Roman"/>
                <w:spacing w:val="-4"/>
                <w:szCs w:val="21"/>
              </w:rPr>
              <w:t>3-1</w:t>
            </w:r>
            <w:r>
              <w:rPr>
                <w:spacing w:val="-4"/>
                <w:szCs w:val="21"/>
              </w:rPr>
              <w:t>可知，</w:t>
            </w:r>
            <w:r>
              <w:rPr>
                <w:rFonts w:hint="eastAsia" w:eastAsia="Times New Roman"/>
                <w:spacing w:val="-4"/>
                <w:szCs w:val="21"/>
              </w:rPr>
              <w:t>除臭氧外，其余各污染物基本因子均可满足《环境空气质量标准</w:t>
            </w:r>
            <w:r>
              <w:rPr>
                <w:rFonts w:hint="eastAsia"/>
                <w:spacing w:val="-4"/>
                <w:szCs w:val="21"/>
              </w:rPr>
              <w:t>》（</w:t>
            </w:r>
            <w:r>
              <w:rPr>
                <w:rFonts w:hint="eastAsia" w:eastAsia="Times New Roman"/>
                <w:spacing w:val="-4"/>
                <w:szCs w:val="21"/>
              </w:rPr>
              <w:t>GB3095-2012</w:t>
            </w:r>
            <w:r>
              <w:rPr>
                <w:rFonts w:hint="eastAsia"/>
                <w:spacing w:val="-4"/>
                <w:szCs w:val="21"/>
              </w:rPr>
              <w:t>）</w:t>
            </w:r>
            <w:r>
              <w:rPr>
                <w:rFonts w:hint="eastAsia" w:eastAsia="Times New Roman"/>
                <w:spacing w:val="-4"/>
                <w:szCs w:val="21"/>
              </w:rPr>
              <w:t>中二级标准</w:t>
            </w:r>
            <w:r>
              <w:rPr>
                <w:rFonts w:hint="eastAsia"/>
                <w:spacing w:val="-4"/>
                <w:szCs w:val="21"/>
              </w:rPr>
              <w:t>，</w:t>
            </w:r>
            <w:r>
              <w:rPr>
                <w:rFonts w:hint="eastAsia" w:eastAsia="Times New Roman"/>
                <w:spacing w:val="-4"/>
                <w:szCs w:val="21"/>
              </w:rPr>
              <w:t>臭氧现状浓度</w:t>
            </w:r>
            <w:r>
              <w:rPr>
                <w:rFonts w:hint="eastAsia" w:eastAsia="宋体"/>
                <w:spacing w:val="-4"/>
                <w:szCs w:val="21"/>
                <w:lang w:eastAsia="zh-CN"/>
              </w:rPr>
              <w:t>超过</w:t>
            </w:r>
            <w:r>
              <w:rPr>
                <w:rFonts w:hint="eastAsia"/>
                <w:spacing w:val="-4"/>
                <w:szCs w:val="21"/>
              </w:rPr>
              <w:t>《</w:t>
            </w:r>
            <w:r>
              <w:rPr>
                <w:rFonts w:hint="eastAsia" w:eastAsia="Times New Roman"/>
                <w:spacing w:val="-4"/>
                <w:szCs w:val="21"/>
              </w:rPr>
              <w:t>环境空气质量标准</w:t>
            </w:r>
            <w:r>
              <w:rPr>
                <w:rFonts w:hint="eastAsia"/>
                <w:spacing w:val="-4"/>
                <w:szCs w:val="21"/>
              </w:rPr>
              <w:t>》（</w:t>
            </w:r>
            <w:r>
              <w:rPr>
                <w:rFonts w:hint="eastAsia" w:eastAsia="Times New Roman"/>
                <w:spacing w:val="-4"/>
                <w:szCs w:val="21"/>
              </w:rPr>
              <w:t>GB3095-2012</w:t>
            </w:r>
            <w:r>
              <w:rPr>
                <w:rFonts w:hint="eastAsia"/>
                <w:spacing w:val="-4"/>
                <w:szCs w:val="21"/>
              </w:rPr>
              <w:t>）</w:t>
            </w:r>
            <w:r>
              <w:rPr>
                <w:rFonts w:hint="eastAsia" w:eastAsia="Times New Roman"/>
                <w:spacing w:val="-4"/>
                <w:szCs w:val="21"/>
              </w:rPr>
              <w:t>中二级标准。因此判定项目所在区域属于不达标区。为推动VOCs和NOx协同减排，深入实施臭氧污染“夏病冬治”，有效遏制臭氧污染，南通市在全省率先制定出台《南通市2022</w:t>
            </w:r>
            <w:r>
              <w:rPr>
                <w:rFonts w:hint="eastAsia" w:eastAsia="宋体"/>
                <w:spacing w:val="-4"/>
                <w:szCs w:val="21"/>
                <w:lang w:eastAsia="zh-CN"/>
              </w:rPr>
              <w:t>—</w:t>
            </w:r>
            <w:r>
              <w:rPr>
                <w:rFonts w:hint="eastAsia" w:eastAsia="Times New Roman"/>
                <w:spacing w:val="-4"/>
                <w:szCs w:val="21"/>
              </w:rPr>
              <w:t>2023年臭氧污染综合治理实施方案》。实施臭氧污染治理五大重点行动：①全面开展含VOCs原辅材料源头替代行动；②全面开</w:t>
            </w:r>
            <w:r>
              <w:rPr>
                <w:rFonts w:hint="eastAsia" w:eastAsia="宋体"/>
                <w:spacing w:val="-4"/>
                <w:szCs w:val="21"/>
                <w:lang w:eastAsia="zh-CN"/>
              </w:rPr>
              <w:t>展</w:t>
            </w:r>
            <w:r>
              <w:rPr>
                <w:rFonts w:hint="eastAsia" w:eastAsia="Times New Roman"/>
                <w:spacing w:val="-4"/>
                <w:szCs w:val="21"/>
              </w:rPr>
              <w:t>VOCs污染综合治理行动；③全面开展氮氧化物污染治理提升行动；④全面开展臭氧精准防控体系构建行动；⑤全面开展污染物监管能力提升行动。通过以上行动，可使O</w:t>
            </w:r>
            <w:r>
              <w:rPr>
                <w:rFonts w:hint="eastAsia" w:eastAsia="Times New Roman"/>
                <w:spacing w:val="-4"/>
                <w:szCs w:val="21"/>
                <w:vertAlign w:val="subscript"/>
              </w:rPr>
              <w:t>3</w:t>
            </w:r>
            <w:r>
              <w:rPr>
                <w:rFonts w:hint="eastAsia" w:eastAsia="Times New Roman"/>
                <w:spacing w:val="-4"/>
                <w:szCs w:val="21"/>
              </w:rPr>
              <w:t>超标得到改善</w:t>
            </w:r>
            <w:r>
              <w:rPr>
                <w:rFonts w:hint="eastAsia"/>
                <w:spacing w:val="-4"/>
                <w:szCs w:val="21"/>
              </w:rPr>
              <w:t>。</w:t>
            </w:r>
          </w:p>
          <w:p>
            <w:pPr>
              <w:widowControl/>
              <w:spacing w:line="500" w:lineRule="exact"/>
              <w:ind w:firstLine="422" w:firstLineChars="200"/>
              <w:jc w:val="left"/>
              <w:rPr>
                <w:rFonts w:hint="eastAsia"/>
                <w:b/>
                <w:bCs/>
                <w:color w:val="000000"/>
                <w:kern w:val="0"/>
                <w:szCs w:val="21"/>
                <w:lang w:val="en-US" w:eastAsia="zh-CN" w:bidi="ar"/>
              </w:rPr>
            </w:pPr>
            <w:r>
              <w:rPr>
                <w:rFonts w:hint="eastAsia"/>
                <w:b/>
                <w:bCs/>
                <w:color w:val="000000"/>
                <w:kern w:val="0"/>
                <w:szCs w:val="21"/>
                <w:lang w:val="en-US" w:eastAsia="zh-CN" w:bidi="ar"/>
              </w:rPr>
              <w:t>2、水环境质量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根据《2022年度南通市生态环境状况公报》中启东市统计结果，长江（南通段）水质为Ⅱ类，水质优良；通吕运河、通启运河水质基本达到Ⅲ类标准；城市建成区基本消除黑臭水体。</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22" w:firstLineChars="200"/>
              <w:textAlignment w:val="auto"/>
              <w:rPr>
                <w:rFonts w:hint="eastAsia"/>
                <w:b/>
                <w:bCs/>
                <w:lang w:val="en-US" w:eastAsia="zh-CN"/>
              </w:rPr>
            </w:pPr>
            <w:r>
              <w:rPr>
                <w:rFonts w:hint="eastAsia"/>
                <w:b/>
                <w:bCs/>
                <w:lang w:val="en-US" w:eastAsia="zh-CN"/>
              </w:rPr>
              <w:t xml:space="preserve">声环境质量现状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根据《&lt;建设项目环境影响报告表</w:t>
            </w:r>
            <w:r>
              <w:rPr>
                <w:rFonts w:hint="default"/>
                <w:lang w:val="en-US" w:eastAsia="zh-CN"/>
              </w:rPr>
              <w:t>&gt;</w:t>
            </w:r>
            <w:r>
              <w:rPr>
                <w:rFonts w:hint="eastAsia"/>
                <w:lang w:val="en-US" w:eastAsia="zh-CN"/>
              </w:rPr>
              <w:t>内容、格式及编制技术指南》（环办环评</w:t>
            </w:r>
            <w:r>
              <w:rPr>
                <w:rFonts w:hint="default"/>
                <w:lang w:val="en-US" w:eastAsia="zh-CN"/>
              </w:rPr>
              <w:t xml:space="preserve">[2020]33 </w:t>
            </w:r>
            <w:r>
              <w:rPr>
                <w:rFonts w:hint="eastAsia"/>
                <w:lang w:val="en-US" w:eastAsia="zh-CN"/>
              </w:rPr>
              <w:t>号）的要求，厂界外周边</w:t>
            </w:r>
            <w:r>
              <w:rPr>
                <w:rFonts w:hint="default"/>
                <w:lang w:val="en-US" w:eastAsia="zh-CN"/>
              </w:rPr>
              <w:t>50</w:t>
            </w:r>
            <w:r>
              <w:rPr>
                <w:rFonts w:hint="eastAsia"/>
                <w:lang w:val="en-US" w:eastAsia="zh-CN"/>
              </w:rPr>
              <w:t>米范围内存在声环境保护目标的建设项目，应监测保护目标声环境质量现状并评价达标情况。本项目周边</w:t>
            </w:r>
            <w:r>
              <w:rPr>
                <w:rFonts w:hint="default"/>
                <w:lang w:val="en-US" w:eastAsia="zh-CN"/>
              </w:rPr>
              <w:t>50m</w:t>
            </w:r>
            <w:r>
              <w:rPr>
                <w:rFonts w:hint="eastAsia"/>
                <w:lang w:val="en-US" w:eastAsia="zh-CN"/>
              </w:rPr>
              <w:t>范围内不存在环境保护目标，因此本项目不进行噪声环境质量现状调查。</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生态环境质量现状 根据《</w:t>
            </w:r>
            <w:r>
              <w:rPr>
                <w:rFonts w:hint="default"/>
                <w:lang w:val="en-US" w:eastAsia="zh-CN"/>
              </w:rPr>
              <w:t>&lt;</w:t>
            </w:r>
            <w:r>
              <w:rPr>
                <w:rFonts w:hint="eastAsia"/>
                <w:lang w:val="en-US" w:eastAsia="zh-CN"/>
              </w:rPr>
              <w:t>建设项目环境影响报告表</w:t>
            </w:r>
            <w:r>
              <w:rPr>
                <w:rFonts w:hint="default"/>
                <w:lang w:val="en-US" w:eastAsia="zh-CN"/>
              </w:rPr>
              <w:t>&gt;</w:t>
            </w:r>
            <w:r>
              <w:rPr>
                <w:rFonts w:hint="eastAsia"/>
                <w:lang w:val="en-US" w:eastAsia="zh-CN"/>
              </w:rPr>
              <w:t>内容、格式及编制技术指南》（环办环评</w:t>
            </w:r>
            <w:r>
              <w:rPr>
                <w:rFonts w:hint="default"/>
                <w:lang w:val="en-US" w:eastAsia="zh-CN"/>
              </w:rPr>
              <w:t>[2020]33</w:t>
            </w:r>
            <w:r>
              <w:rPr>
                <w:rFonts w:hint="eastAsia"/>
                <w:lang w:val="en-US" w:eastAsia="zh-CN"/>
              </w:rPr>
              <w:t>号）的要求，产业园区外建设项目新增用地且用地范围内含有生态环境保护目标时，应进行生态现状调查。本项目在启东经济技术开发区内，因此本项目不开展生态环境现状调查。</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地下水环境质量现状 根据《</w:t>
            </w:r>
            <w:r>
              <w:rPr>
                <w:rFonts w:hint="default"/>
                <w:lang w:val="en-US" w:eastAsia="zh-CN"/>
              </w:rPr>
              <w:t>&lt;</w:t>
            </w:r>
            <w:r>
              <w:rPr>
                <w:rFonts w:hint="eastAsia"/>
                <w:lang w:val="en-US" w:eastAsia="zh-CN"/>
              </w:rPr>
              <w:t>建设项目环境影响报告表</w:t>
            </w:r>
            <w:r>
              <w:rPr>
                <w:rFonts w:hint="default"/>
                <w:lang w:val="en-US" w:eastAsia="zh-CN"/>
              </w:rPr>
              <w:t>&gt;</w:t>
            </w:r>
            <w:r>
              <w:rPr>
                <w:rFonts w:hint="eastAsia"/>
                <w:lang w:val="en-US" w:eastAsia="zh-CN"/>
              </w:rPr>
              <w:t>内容、格式及编制技术指南》（环办环评</w:t>
            </w:r>
            <w:r>
              <w:rPr>
                <w:rFonts w:hint="default"/>
                <w:lang w:val="en-US" w:eastAsia="zh-CN"/>
              </w:rPr>
              <w:t xml:space="preserve">[2020]33 </w:t>
            </w:r>
            <w:r>
              <w:rPr>
                <w:rFonts w:hint="eastAsia"/>
                <w:lang w:val="en-US" w:eastAsia="zh-CN"/>
              </w:rPr>
              <w:t xml:space="preserve">号）的要求，报告表原则上不开展地下水环境质量现状调查。因此本项目不开展地下水环境现状调查。 </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土壤环境质量现状 根据《</w:t>
            </w:r>
            <w:r>
              <w:rPr>
                <w:rFonts w:hint="default"/>
                <w:lang w:val="en-US" w:eastAsia="zh-CN"/>
              </w:rPr>
              <w:t>&lt;</w:t>
            </w:r>
            <w:r>
              <w:rPr>
                <w:rFonts w:hint="eastAsia"/>
                <w:lang w:val="en-US" w:eastAsia="zh-CN"/>
              </w:rPr>
              <w:t>建设项目环境影响报告表</w:t>
            </w:r>
            <w:r>
              <w:rPr>
                <w:rFonts w:hint="default"/>
                <w:lang w:val="en-US" w:eastAsia="zh-CN"/>
              </w:rPr>
              <w:t>&gt;</w:t>
            </w:r>
            <w:r>
              <w:rPr>
                <w:rFonts w:hint="eastAsia"/>
                <w:lang w:val="en-US" w:eastAsia="zh-CN"/>
              </w:rPr>
              <w:t>内容、格式及编制技术指南》（环办环评</w:t>
            </w:r>
            <w:r>
              <w:rPr>
                <w:rFonts w:hint="default"/>
                <w:lang w:val="en-US" w:eastAsia="zh-CN"/>
              </w:rPr>
              <w:t>[2020]33</w:t>
            </w:r>
            <w:r>
              <w:rPr>
                <w:rFonts w:hint="eastAsia"/>
                <w:lang w:val="en-US" w:eastAsia="zh-CN"/>
              </w:rPr>
              <w:t xml:space="preserve">号）的要求，报告表原则上不开展土壤环境质量现状调查。因此本项目不开展土壤环境现状调查。 </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cs="Times New Roman"/>
                <w:b/>
                <w:bCs/>
                <w:sz w:val="21"/>
                <w:szCs w:val="21"/>
                <w:vertAlign w:val="baseline"/>
              </w:rPr>
            </w:pPr>
            <w:r>
              <w:rPr>
                <w:rFonts w:hint="eastAsia"/>
                <w:lang w:val="en-US" w:eastAsia="zh-CN"/>
              </w:rPr>
              <w:t>电磁辐射环境质量现状 本项目不属于广播电台、差转台、电视塔台、卫星地球上行站、雷达等电磁辐射类 项目，因此本项目不开展电磁辐射环境现状调查。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bidi w:val="0"/>
              <w:jc w:val="center"/>
              <w:rPr>
                <w:rFonts w:hint="eastAsia" w:eastAsia="宋体"/>
                <w:lang w:eastAsia="zh-CN"/>
              </w:rPr>
            </w:pPr>
            <w:r>
              <w:rPr>
                <w:rFonts w:hint="eastAsia"/>
                <w:lang w:eastAsia="zh-CN"/>
              </w:rPr>
              <w:t>环境保护目标</w:t>
            </w:r>
          </w:p>
        </w:tc>
        <w:tc>
          <w:tcPr>
            <w:tcW w:w="8326" w:type="dxa"/>
          </w:tcPr>
          <w:p>
            <w:pPr>
              <w:adjustRightInd w:val="0"/>
              <w:snapToGrid w:val="0"/>
              <w:spacing w:line="500" w:lineRule="exact"/>
              <w:ind w:firstLine="422" w:firstLineChars="200"/>
              <w:rPr>
                <w:rFonts w:hint="eastAsia"/>
                <w:b/>
                <w:bCs/>
                <w:kern w:val="0"/>
                <w:szCs w:val="21"/>
              </w:rPr>
            </w:pPr>
            <w:r>
              <w:rPr>
                <w:rFonts w:hint="eastAsia"/>
                <w:b/>
                <w:bCs/>
                <w:kern w:val="0"/>
                <w:szCs w:val="21"/>
              </w:rPr>
              <w:t>1、大气环境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项目厂界外500米范围内的保护目标见下表。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lang w:val="en-US" w:eastAsia="zh-CN"/>
              </w:rPr>
            </w:pPr>
            <w:r>
              <w:rPr>
                <w:rFonts w:hint="eastAsia"/>
                <w:b/>
                <w:bCs/>
                <w:lang w:val="en-US" w:eastAsia="zh-CN"/>
              </w:rPr>
              <w:t>表3-2 大气环境保护目标</w:t>
            </w:r>
          </w:p>
          <w:tbl>
            <w:tblPr>
              <w:tblStyle w:val="11"/>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65"/>
              <w:gridCol w:w="975"/>
              <w:gridCol w:w="945"/>
              <w:gridCol w:w="703"/>
              <w:gridCol w:w="962"/>
              <w:gridCol w:w="1558"/>
              <w:gridCol w:w="741"/>
              <w:gridCol w:w="8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8" w:type="pct"/>
                  <w:vMerge w:val="restart"/>
                  <w:noWrap w:val="0"/>
                  <w:vAlign w:val="center"/>
                </w:tcPr>
                <w:p>
                  <w:pPr>
                    <w:jc w:val="center"/>
                    <w:rPr>
                      <w:b/>
                      <w:bCs/>
                      <w:sz w:val="18"/>
                      <w:szCs w:val="18"/>
                    </w:rPr>
                  </w:pPr>
                  <w:r>
                    <w:rPr>
                      <w:b/>
                      <w:bCs/>
                      <w:sz w:val="18"/>
                      <w:szCs w:val="18"/>
                    </w:rPr>
                    <w:t>环境要素</w:t>
                  </w:r>
                </w:p>
              </w:tc>
              <w:tc>
                <w:tcPr>
                  <w:tcW w:w="472" w:type="pct"/>
                  <w:vMerge w:val="restart"/>
                  <w:noWrap w:val="0"/>
                  <w:vAlign w:val="center"/>
                </w:tcPr>
                <w:p>
                  <w:pPr>
                    <w:tabs>
                      <w:tab w:val="left" w:pos="1021"/>
                    </w:tabs>
                    <w:adjustRightInd w:val="0"/>
                    <w:snapToGrid w:val="0"/>
                    <w:jc w:val="center"/>
                    <w:rPr>
                      <w:b/>
                      <w:bCs/>
                      <w:sz w:val="18"/>
                      <w:szCs w:val="18"/>
                    </w:rPr>
                  </w:pPr>
                  <w:r>
                    <w:rPr>
                      <w:b/>
                      <w:bCs/>
                      <w:sz w:val="18"/>
                      <w:szCs w:val="18"/>
                    </w:rPr>
                    <w:t>名称</w:t>
                  </w:r>
                </w:p>
              </w:tc>
              <w:tc>
                <w:tcPr>
                  <w:tcW w:w="1185" w:type="pct"/>
                  <w:gridSpan w:val="2"/>
                  <w:noWrap w:val="0"/>
                  <w:vAlign w:val="center"/>
                </w:tcPr>
                <w:p>
                  <w:pPr>
                    <w:tabs>
                      <w:tab w:val="left" w:pos="1021"/>
                    </w:tabs>
                    <w:adjustRightInd w:val="0"/>
                    <w:snapToGrid w:val="0"/>
                    <w:jc w:val="center"/>
                    <w:rPr>
                      <w:b/>
                      <w:bCs/>
                      <w:sz w:val="18"/>
                      <w:szCs w:val="18"/>
                    </w:rPr>
                  </w:pPr>
                  <w:r>
                    <w:rPr>
                      <w:b/>
                      <w:bCs/>
                      <w:sz w:val="18"/>
                      <w:szCs w:val="18"/>
                    </w:rPr>
                    <w:t>坐标（°）</w:t>
                  </w:r>
                </w:p>
              </w:tc>
              <w:tc>
                <w:tcPr>
                  <w:tcW w:w="433" w:type="pct"/>
                  <w:vMerge w:val="restart"/>
                  <w:noWrap w:val="0"/>
                  <w:vAlign w:val="center"/>
                </w:tcPr>
                <w:p>
                  <w:pPr>
                    <w:tabs>
                      <w:tab w:val="left" w:pos="1021"/>
                    </w:tabs>
                    <w:adjustRightInd w:val="0"/>
                    <w:snapToGrid w:val="0"/>
                    <w:jc w:val="center"/>
                    <w:rPr>
                      <w:b/>
                      <w:bCs/>
                      <w:sz w:val="18"/>
                      <w:szCs w:val="18"/>
                    </w:rPr>
                  </w:pPr>
                  <w:r>
                    <w:rPr>
                      <w:b/>
                      <w:bCs/>
                      <w:sz w:val="18"/>
                      <w:szCs w:val="18"/>
                    </w:rPr>
                    <w:t>保护对象</w:t>
                  </w:r>
                </w:p>
              </w:tc>
              <w:tc>
                <w:tcPr>
                  <w:tcW w:w="593" w:type="pct"/>
                  <w:vMerge w:val="restart"/>
                  <w:noWrap w:val="0"/>
                  <w:vAlign w:val="center"/>
                </w:tcPr>
                <w:p>
                  <w:pPr>
                    <w:tabs>
                      <w:tab w:val="left" w:pos="1021"/>
                    </w:tabs>
                    <w:adjustRightInd w:val="0"/>
                    <w:snapToGrid w:val="0"/>
                    <w:jc w:val="center"/>
                    <w:rPr>
                      <w:b/>
                      <w:bCs/>
                      <w:sz w:val="18"/>
                      <w:szCs w:val="18"/>
                    </w:rPr>
                  </w:pPr>
                  <w:r>
                    <w:rPr>
                      <w:b/>
                      <w:bCs/>
                      <w:sz w:val="18"/>
                      <w:szCs w:val="18"/>
                    </w:rPr>
                    <w:t>保护内容</w:t>
                  </w:r>
                  <w:r>
                    <w:rPr>
                      <w:rFonts w:hint="eastAsia"/>
                      <w:b/>
                      <w:bCs/>
                      <w:sz w:val="18"/>
                      <w:szCs w:val="18"/>
                    </w:rPr>
                    <w:t>/规模</w:t>
                  </w:r>
                </w:p>
              </w:tc>
              <w:tc>
                <w:tcPr>
                  <w:tcW w:w="961" w:type="pct"/>
                  <w:vMerge w:val="restart"/>
                  <w:noWrap w:val="0"/>
                  <w:vAlign w:val="center"/>
                </w:tcPr>
                <w:p>
                  <w:pPr>
                    <w:tabs>
                      <w:tab w:val="left" w:pos="1021"/>
                    </w:tabs>
                    <w:adjustRightInd w:val="0"/>
                    <w:snapToGrid w:val="0"/>
                    <w:jc w:val="center"/>
                    <w:rPr>
                      <w:b/>
                      <w:bCs/>
                      <w:sz w:val="18"/>
                      <w:szCs w:val="18"/>
                    </w:rPr>
                  </w:pPr>
                  <w:r>
                    <w:rPr>
                      <w:b/>
                      <w:bCs/>
                      <w:sz w:val="18"/>
                      <w:szCs w:val="18"/>
                    </w:rPr>
                    <w:t>环境功能区</w:t>
                  </w:r>
                </w:p>
              </w:tc>
              <w:tc>
                <w:tcPr>
                  <w:tcW w:w="457" w:type="pct"/>
                  <w:vMerge w:val="restart"/>
                  <w:noWrap w:val="0"/>
                  <w:vAlign w:val="center"/>
                </w:tcPr>
                <w:p>
                  <w:pPr>
                    <w:tabs>
                      <w:tab w:val="left" w:pos="1021"/>
                    </w:tabs>
                    <w:adjustRightInd w:val="0"/>
                    <w:snapToGrid w:val="0"/>
                    <w:jc w:val="center"/>
                    <w:rPr>
                      <w:b/>
                      <w:bCs/>
                      <w:sz w:val="18"/>
                      <w:szCs w:val="18"/>
                    </w:rPr>
                  </w:pPr>
                  <w:r>
                    <w:rPr>
                      <w:b/>
                      <w:bCs/>
                      <w:sz w:val="18"/>
                      <w:szCs w:val="18"/>
                    </w:rPr>
                    <w:t>相对厂址方向</w:t>
                  </w:r>
                </w:p>
              </w:tc>
              <w:tc>
                <w:tcPr>
                  <w:tcW w:w="506" w:type="pct"/>
                  <w:vMerge w:val="restart"/>
                  <w:noWrap w:val="0"/>
                  <w:vAlign w:val="center"/>
                </w:tcPr>
                <w:p>
                  <w:pPr>
                    <w:tabs>
                      <w:tab w:val="left" w:pos="1021"/>
                    </w:tabs>
                    <w:adjustRightInd w:val="0"/>
                    <w:snapToGrid w:val="0"/>
                    <w:jc w:val="center"/>
                    <w:rPr>
                      <w:b/>
                      <w:bCs/>
                      <w:sz w:val="18"/>
                      <w:szCs w:val="18"/>
                    </w:rPr>
                  </w:pPr>
                  <w:r>
                    <w:rPr>
                      <w:b/>
                      <w:bCs/>
                      <w:sz w:val="18"/>
                      <w:szCs w:val="18"/>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8" w:type="pct"/>
                  <w:vMerge w:val="continue"/>
                  <w:noWrap w:val="0"/>
                  <w:vAlign w:val="center"/>
                </w:tcPr>
                <w:p>
                  <w:pPr>
                    <w:widowControl/>
                    <w:jc w:val="center"/>
                    <w:rPr>
                      <w:sz w:val="18"/>
                      <w:szCs w:val="18"/>
                    </w:rPr>
                  </w:pPr>
                </w:p>
              </w:tc>
              <w:tc>
                <w:tcPr>
                  <w:tcW w:w="472" w:type="pct"/>
                  <w:vMerge w:val="continue"/>
                  <w:noWrap w:val="0"/>
                  <w:vAlign w:val="center"/>
                </w:tcPr>
                <w:p>
                  <w:pPr>
                    <w:widowControl/>
                    <w:jc w:val="center"/>
                    <w:rPr>
                      <w:sz w:val="18"/>
                      <w:szCs w:val="18"/>
                    </w:rPr>
                  </w:pPr>
                </w:p>
              </w:tc>
              <w:tc>
                <w:tcPr>
                  <w:tcW w:w="601" w:type="pct"/>
                  <w:noWrap w:val="0"/>
                  <w:vAlign w:val="center"/>
                </w:tcPr>
                <w:p>
                  <w:pPr>
                    <w:tabs>
                      <w:tab w:val="left" w:pos="1021"/>
                    </w:tabs>
                    <w:adjustRightInd w:val="0"/>
                    <w:snapToGrid w:val="0"/>
                    <w:jc w:val="center"/>
                    <w:rPr>
                      <w:b/>
                      <w:bCs/>
                      <w:sz w:val="18"/>
                      <w:szCs w:val="18"/>
                    </w:rPr>
                  </w:pPr>
                  <w:r>
                    <w:rPr>
                      <w:b/>
                      <w:bCs/>
                      <w:sz w:val="18"/>
                      <w:szCs w:val="18"/>
                    </w:rPr>
                    <w:t>X</w:t>
                  </w:r>
                </w:p>
              </w:tc>
              <w:tc>
                <w:tcPr>
                  <w:tcW w:w="583" w:type="pct"/>
                  <w:noWrap w:val="0"/>
                  <w:vAlign w:val="center"/>
                </w:tcPr>
                <w:p>
                  <w:pPr>
                    <w:tabs>
                      <w:tab w:val="left" w:pos="1021"/>
                    </w:tabs>
                    <w:adjustRightInd w:val="0"/>
                    <w:snapToGrid w:val="0"/>
                    <w:jc w:val="center"/>
                    <w:rPr>
                      <w:b/>
                      <w:bCs/>
                      <w:sz w:val="18"/>
                      <w:szCs w:val="18"/>
                    </w:rPr>
                  </w:pPr>
                  <w:r>
                    <w:rPr>
                      <w:b/>
                      <w:bCs/>
                      <w:sz w:val="18"/>
                      <w:szCs w:val="18"/>
                    </w:rPr>
                    <w:t>Y</w:t>
                  </w:r>
                </w:p>
              </w:tc>
              <w:tc>
                <w:tcPr>
                  <w:tcW w:w="433" w:type="pct"/>
                  <w:vMerge w:val="continue"/>
                  <w:noWrap w:val="0"/>
                  <w:vAlign w:val="center"/>
                </w:tcPr>
                <w:p>
                  <w:pPr>
                    <w:widowControl/>
                    <w:jc w:val="center"/>
                    <w:rPr>
                      <w:sz w:val="18"/>
                      <w:szCs w:val="18"/>
                    </w:rPr>
                  </w:pPr>
                </w:p>
              </w:tc>
              <w:tc>
                <w:tcPr>
                  <w:tcW w:w="593" w:type="pct"/>
                  <w:vMerge w:val="continue"/>
                  <w:noWrap w:val="0"/>
                  <w:vAlign w:val="center"/>
                </w:tcPr>
                <w:p>
                  <w:pPr>
                    <w:widowControl/>
                    <w:jc w:val="center"/>
                    <w:rPr>
                      <w:sz w:val="18"/>
                      <w:szCs w:val="18"/>
                    </w:rPr>
                  </w:pPr>
                </w:p>
              </w:tc>
              <w:tc>
                <w:tcPr>
                  <w:tcW w:w="961" w:type="pct"/>
                  <w:vMerge w:val="continue"/>
                  <w:noWrap w:val="0"/>
                  <w:vAlign w:val="center"/>
                </w:tcPr>
                <w:p>
                  <w:pPr>
                    <w:widowControl/>
                    <w:jc w:val="center"/>
                    <w:rPr>
                      <w:sz w:val="18"/>
                      <w:szCs w:val="18"/>
                    </w:rPr>
                  </w:pPr>
                </w:p>
              </w:tc>
              <w:tc>
                <w:tcPr>
                  <w:tcW w:w="457" w:type="pct"/>
                  <w:vMerge w:val="continue"/>
                  <w:noWrap w:val="0"/>
                  <w:vAlign w:val="center"/>
                </w:tcPr>
                <w:p>
                  <w:pPr>
                    <w:widowControl/>
                    <w:jc w:val="center"/>
                    <w:rPr>
                      <w:sz w:val="18"/>
                      <w:szCs w:val="18"/>
                    </w:rPr>
                  </w:pPr>
                </w:p>
              </w:tc>
              <w:tc>
                <w:tcPr>
                  <w:tcW w:w="506" w:type="pct"/>
                  <w:vMerge w:val="continue"/>
                  <w:noWrap w:val="0"/>
                  <w:vAlign w:val="center"/>
                </w:tcPr>
                <w:p>
                  <w:pPr>
                    <w:widowControl/>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88" w:type="pct"/>
                  <w:vMerge w:val="restart"/>
                  <w:noWrap w:val="0"/>
                  <w:vAlign w:val="center"/>
                </w:tcPr>
                <w:p>
                  <w:pPr>
                    <w:jc w:val="center"/>
                    <w:rPr>
                      <w:sz w:val="18"/>
                      <w:szCs w:val="18"/>
                    </w:rPr>
                  </w:pPr>
                  <w:r>
                    <w:rPr>
                      <w:sz w:val="18"/>
                      <w:szCs w:val="18"/>
                    </w:rPr>
                    <w:t>大气</w:t>
                  </w:r>
                </w:p>
              </w:tc>
              <w:tc>
                <w:tcPr>
                  <w:tcW w:w="472" w:type="pct"/>
                  <w:noWrap w:val="0"/>
                  <w:vAlign w:val="center"/>
                </w:tcPr>
                <w:p>
                  <w:pPr>
                    <w:adjustRightInd w:val="0"/>
                    <w:snapToGrid w:val="0"/>
                    <w:spacing w:line="320" w:lineRule="exact"/>
                    <w:jc w:val="center"/>
                    <w:rPr>
                      <w:rFonts w:hint="default" w:eastAsia="宋体"/>
                      <w:color w:val="auto"/>
                      <w:sz w:val="18"/>
                      <w:szCs w:val="18"/>
                      <w:lang w:val="en-US" w:eastAsia="zh-CN"/>
                    </w:rPr>
                  </w:pPr>
                  <w:r>
                    <w:rPr>
                      <w:rFonts w:hint="eastAsia"/>
                      <w:color w:val="auto"/>
                      <w:sz w:val="18"/>
                      <w:szCs w:val="18"/>
                      <w:lang w:val="en-US" w:eastAsia="zh-CN"/>
                    </w:rPr>
                    <w:t>大洪村</w:t>
                  </w:r>
                </w:p>
              </w:tc>
              <w:tc>
                <w:tcPr>
                  <w:tcW w:w="601" w:type="pct"/>
                  <w:noWrap w:val="0"/>
                  <w:vAlign w:val="center"/>
                </w:tcPr>
                <w:p>
                  <w:pPr>
                    <w:spacing w:line="320" w:lineRule="exact"/>
                    <w:jc w:val="center"/>
                    <w:rPr>
                      <w:color w:val="auto"/>
                      <w:sz w:val="18"/>
                      <w:szCs w:val="18"/>
                    </w:rPr>
                  </w:pPr>
                  <w:r>
                    <w:rPr>
                      <w:rFonts w:hint="eastAsia"/>
                      <w:color w:val="auto"/>
                      <w:sz w:val="18"/>
                      <w:szCs w:val="18"/>
                    </w:rPr>
                    <w:t>121.6109943</w:t>
                  </w:r>
                </w:p>
              </w:tc>
              <w:tc>
                <w:tcPr>
                  <w:tcW w:w="583" w:type="pct"/>
                  <w:noWrap w:val="0"/>
                  <w:vAlign w:val="center"/>
                </w:tcPr>
                <w:p>
                  <w:pPr>
                    <w:spacing w:line="320" w:lineRule="exact"/>
                    <w:jc w:val="center"/>
                    <w:rPr>
                      <w:color w:val="auto"/>
                      <w:sz w:val="18"/>
                      <w:szCs w:val="18"/>
                    </w:rPr>
                  </w:pPr>
                  <w:r>
                    <w:rPr>
                      <w:rFonts w:hint="eastAsia"/>
                      <w:color w:val="auto"/>
                      <w:sz w:val="18"/>
                      <w:szCs w:val="18"/>
                    </w:rPr>
                    <w:t>31.8304860</w:t>
                  </w:r>
                </w:p>
              </w:tc>
              <w:tc>
                <w:tcPr>
                  <w:tcW w:w="433" w:type="pct"/>
                  <w:noWrap w:val="0"/>
                  <w:vAlign w:val="center"/>
                </w:tcPr>
                <w:p>
                  <w:pPr>
                    <w:adjustRightInd w:val="0"/>
                    <w:snapToGrid w:val="0"/>
                    <w:spacing w:line="320" w:lineRule="exact"/>
                    <w:jc w:val="center"/>
                    <w:rPr>
                      <w:color w:val="auto"/>
                      <w:sz w:val="18"/>
                      <w:szCs w:val="18"/>
                    </w:rPr>
                  </w:pPr>
                  <w:r>
                    <w:rPr>
                      <w:color w:val="auto"/>
                      <w:sz w:val="18"/>
                      <w:szCs w:val="18"/>
                    </w:rPr>
                    <w:t>居民</w:t>
                  </w: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rFonts w:hint="eastAsia"/>
                      <w:color w:val="auto"/>
                      <w:sz w:val="18"/>
                      <w:szCs w:val="18"/>
                      <w:lang w:val="en-US" w:eastAsia="zh-CN"/>
                    </w:rPr>
                    <w:t>约100人</w:t>
                  </w:r>
                </w:p>
              </w:tc>
              <w:tc>
                <w:tcPr>
                  <w:tcW w:w="961" w:type="pct"/>
                  <w:vMerge w:val="restart"/>
                  <w:noWrap w:val="0"/>
                  <w:vAlign w:val="center"/>
                </w:tcPr>
                <w:p>
                  <w:pPr>
                    <w:adjustRightInd w:val="0"/>
                    <w:snapToGrid w:val="0"/>
                    <w:spacing w:line="320" w:lineRule="exact"/>
                    <w:jc w:val="center"/>
                    <w:rPr>
                      <w:color w:val="auto"/>
                      <w:sz w:val="18"/>
                      <w:szCs w:val="18"/>
                    </w:rPr>
                  </w:pPr>
                  <w:r>
                    <w:rPr>
                      <w:color w:val="auto"/>
                      <w:sz w:val="18"/>
                      <w:szCs w:val="18"/>
                    </w:rPr>
                    <w:t>《环境空气质量标准》（GB3095－2012）中的二级标准</w:t>
                  </w:r>
                </w:p>
              </w:tc>
              <w:tc>
                <w:tcPr>
                  <w:tcW w:w="457" w:type="pct"/>
                  <w:noWrap w:val="0"/>
                  <w:vAlign w:val="center"/>
                </w:tcPr>
                <w:p>
                  <w:pPr>
                    <w:adjustRightInd w:val="0"/>
                    <w:snapToGrid w:val="0"/>
                    <w:spacing w:line="320" w:lineRule="exact"/>
                    <w:jc w:val="center"/>
                    <w:rPr>
                      <w:rFonts w:hint="default" w:eastAsia="宋体"/>
                      <w:color w:val="auto"/>
                      <w:sz w:val="18"/>
                      <w:szCs w:val="18"/>
                      <w:lang w:val="en-US" w:eastAsia="zh-CN"/>
                    </w:rPr>
                  </w:pPr>
                  <w:r>
                    <w:rPr>
                      <w:rFonts w:hint="eastAsia"/>
                      <w:color w:val="auto"/>
                      <w:sz w:val="18"/>
                      <w:szCs w:val="18"/>
                      <w:lang w:val="en-US" w:eastAsia="zh-CN"/>
                    </w:rPr>
                    <w:t>NE</w:t>
                  </w:r>
                </w:p>
              </w:tc>
              <w:tc>
                <w:tcPr>
                  <w:tcW w:w="50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lang w:val="en-US" w:eastAsia="zh-CN"/>
                    </w:rPr>
                  </w:pPr>
                  <w:r>
                    <w:rPr>
                      <w:rFonts w:hint="eastAsia"/>
                      <w:color w:val="auto"/>
                      <w:sz w:val="18"/>
                      <w:szCs w:val="18"/>
                      <w:lang w:val="en-US" w:eastAsia="zh-CN"/>
                    </w:rPr>
                    <w:t>451.2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88" w:type="pct"/>
                  <w:vMerge w:val="continue"/>
                  <w:noWrap w:val="0"/>
                  <w:vAlign w:val="center"/>
                </w:tcPr>
                <w:p>
                  <w:pPr>
                    <w:jc w:val="center"/>
                    <w:rPr>
                      <w:sz w:val="18"/>
                      <w:szCs w:val="18"/>
                    </w:rPr>
                  </w:pPr>
                </w:p>
              </w:tc>
              <w:tc>
                <w:tcPr>
                  <w:tcW w:w="472" w:type="pct"/>
                  <w:noWrap w:val="0"/>
                  <w:vAlign w:val="center"/>
                </w:tcPr>
                <w:p>
                  <w:pPr>
                    <w:adjustRightInd w:val="0"/>
                    <w:snapToGrid w:val="0"/>
                    <w:spacing w:line="320" w:lineRule="exact"/>
                    <w:jc w:val="center"/>
                    <w:rPr>
                      <w:rFonts w:hint="default" w:eastAsia="宋体"/>
                      <w:sz w:val="18"/>
                      <w:szCs w:val="18"/>
                      <w:lang w:val="en-US" w:eastAsia="zh-CN"/>
                    </w:rPr>
                  </w:pPr>
                  <w:r>
                    <w:rPr>
                      <w:rFonts w:hint="eastAsia"/>
                      <w:sz w:val="18"/>
                      <w:szCs w:val="18"/>
                      <w:lang w:val="en-US" w:eastAsia="zh-CN"/>
                    </w:rPr>
                    <w:t>启东中学</w:t>
                  </w:r>
                </w:p>
              </w:tc>
              <w:tc>
                <w:tcPr>
                  <w:tcW w:w="601" w:type="pct"/>
                  <w:noWrap w:val="0"/>
                  <w:vAlign w:val="center"/>
                </w:tcPr>
                <w:p>
                  <w:pPr>
                    <w:spacing w:line="320" w:lineRule="exact"/>
                    <w:jc w:val="center"/>
                    <w:rPr>
                      <w:b w:val="0"/>
                      <w:bCs w:val="0"/>
                      <w:sz w:val="18"/>
                      <w:szCs w:val="18"/>
                    </w:rPr>
                  </w:pPr>
                  <w:r>
                    <w:rPr>
                      <w:rFonts w:hint="eastAsia"/>
                      <w:b w:val="0"/>
                      <w:bCs w:val="0"/>
                      <w:kern w:val="0"/>
                      <w:sz w:val="18"/>
                      <w:szCs w:val="18"/>
                    </w:rPr>
                    <w:t>121.6128825</w:t>
                  </w:r>
                </w:p>
              </w:tc>
              <w:tc>
                <w:tcPr>
                  <w:tcW w:w="583" w:type="pct"/>
                  <w:noWrap w:val="0"/>
                  <w:vAlign w:val="center"/>
                </w:tcPr>
                <w:p>
                  <w:pPr>
                    <w:spacing w:line="320" w:lineRule="exact"/>
                    <w:jc w:val="center"/>
                    <w:rPr>
                      <w:b w:val="0"/>
                      <w:bCs w:val="0"/>
                      <w:sz w:val="18"/>
                      <w:szCs w:val="18"/>
                    </w:rPr>
                  </w:pPr>
                  <w:r>
                    <w:rPr>
                      <w:rFonts w:hint="eastAsia"/>
                      <w:b w:val="0"/>
                      <w:bCs w:val="0"/>
                      <w:kern w:val="0"/>
                      <w:sz w:val="18"/>
                      <w:szCs w:val="18"/>
                    </w:rPr>
                    <w:t>31.8267738</w:t>
                  </w:r>
                </w:p>
              </w:tc>
              <w:tc>
                <w:tcPr>
                  <w:tcW w:w="433" w:type="pct"/>
                  <w:noWrap w:val="0"/>
                  <w:vAlign w:val="center"/>
                </w:tcPr>
                <w:p>
                  <w:pPr>
                    <w:adjustRightInd w:val="0"/>
                    <w:snapToGrid w:val="0"/>
                    <w:spacing w:line="320" w:lineRule="exact"/>
                    <w:jc w:val="center"/>
                    <w:rPr>
                      <w:rFonts w:hint="eastAsia" w:eastAsia="宋体"/>
                      <w:sz w:val="18"/>
                      <w:szCs w:val="18"/>
                      <w:lang w:eastAsia="zh-CN"/>
                    </w:rPr>
                  </w:pPr>
                  <w:r>
                    <w:rPr>
                      <w:rFonts w:hint="eastAsia"/>
                      <w:sz w:val="18"/>
                      <w:szCs w:val="18"/>
                      <w:lang w:eastAsia="zh-CN"/>
                    </w:rPr>
                    <w:t>学校</w:t>
                  </w: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18"/>
                      <w:szCs w:val="18"/>
                    </w:rPr>
                  </w:pPr>
                  <w:r>
                    <w:rPr>
                      <w:rFonts w:hint="eastAsia"/>
                      <w:sz w:val="18"/>
                      <w:szCs w:val="18"/>
                      <w:lang w:val="en-US" w:eastAsia="zh-CN"/>
                    </w:rPr>
                    <w:t>约3300人</w:t>
                  </w:r>
                </w:p>
              </w:tc>
              <w:tc>
                <w:tcPr>
                  <w:tcW w:w="961" w:type="pct"/>
                  <w:vMerge w:val="continue"/>
                  <w:noWrap w:val="0"/>
                  <w:vAlign w:val="center"/>
                </w:tcPr>
                <w:p>
                  <w:pPr>
                    <w:adjustRightInd w:val="0"/>
                    <w:snapToGrid w:val="0"/>
                    <w:spacing w:line="320" w:lineRule="exact"/>
                    <w:jc w:val="center"/>
                    <w:rPr>
                      <w:sz w:val="18"/>
                      <w:szCs w:val="18"/>
                    </w:rPr>
                  </w:pPr>
                </w:p>
              </w:tc>
              <w:tc>
                <w:tcPr>
                  <w:tcW w:w="457" w:type="pct"/>
                  <w:noWrap w:val="0"/>
                  <w:vAlign w:val="center"/>
                </w:tcPr>
                <w:p>
                  <w:pPr>
                    <w:adjustRightInd w:val="0"/>
                    <w:snapToGrid w:val="0"/>
                    <w:spacing w:line="320" w:lineRule="exact"/>
                    <w:jc w:val="center"/>
                    <w:rPr>
                      <w:rFonts w:hint="eastAsia" w:eastAsia="宋体"/>
                      <w:sz w:val="18"/>
                      <w:szCs w:val="18"/>
                      <w:lang w:val="en-US" w:eastAsia="zh-CN"/>
                    </w:rPr>
                  </w:pPr>
                  <w:r>
                    <w:rPr>
                      <w:rFonts w:hint="eastAsia"/>
                      <w:sz w:val="18"/>
                      <w:szCs w:val="18"/>
                      <w:lang w:val="en-US" w:eastAsia="zh-CN"/>
                    </w:rPr>
                    <w:t>E</w:t>
                  </w:r>
                </w:p>
              </w:tc>
              <w:tc>
                <w:tcPr>
                  <w:tcW w:w="50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lang w:val="en-US"/>
                    </w:rPr>
                  </w:pPr>
                  <w:r>
                    <w:rPr>
                      <w:rFonts w:hint="eastAsia"/>
                      <w:sz w:val="18"/>
                      <w:szCs w:val="18"/>
                      <w:lang w:val="en-US" w:eastAsia="zh-CN"/>
                    </w:rPr>
                    <w:t>435</w:t>
                  </w:r>
                </w:p>
              </w:tc>
            </w:tr>
          </w:tbl>
          <w:p>
            <w:pPr>
              <w:adjustRightInd w:val="0"/>
              <w:snapToGrid w:val="0"/>
              <w:spacing w:line="500" w:lineRule="exact"/>
              <w:ind w:firstLine="422" w:firstLineChars="200"/>
              <w:rPr>
                <w:rFonts w:hint="eastAsia"/>
                <w:b/>
                <w:bCs/>
                <w:kern w:val="0"/>
                <w:szCs w:val="21"/>
              </w:rPr>
            </w:pPr>
            <w:r>
              <w:rPr>
                <w:rFonts w:hint="eastAsia"/>
                <w:b/>
                <w:bCs/>
                <w:kern w:val="0"/>
                <w:szCs w:val="21"/>
              </w:rPr>
              <w:t>2、声环境</w:t>
            </w:r>
          </w:p>
          <w:p>
            <w:pPr>
              <w:adjustRightInd w:val="0"/>
              <w:snapToGrid w:val="0"/>
              <w:spacing w:line="500" w:lineRule="exact"/>
              <w:ind w:firstLine="420" w:firstLineChars="200"/>
              <w:rPr>
                <w:rFonts w:hint="eastAsia"/>
                <w:kern w:val="0"/>
                <w:szCs w:val="21"/>
              </w:rPr>
            </w:pPr>
            <w:r>
              <w:rPr>
                <w:rFonts w:hint="eastAsia"/>
                <w:kern w:val="0"/>
                <w:szCs w:val="21"/>
              </w:rPr>
              <w:t>项目厂界外50米范围内无环境保护目标。</w:t>
            </w:r>
          </w:p>
          <w:p>
            <w:pPr>
              <w:adjustRightInd w:val="0"/>
              <w:snapToGrid w:val="0"/>
              <w:spacing w:line="500" w:lineRule="exact"/>
              <w:ind w:firstLine="422" w:firstLineChars="200"/>
              <w:rPr>
                <w:rFonts w:hint="eastAsia"/>
                <w:b/>
                <w:bCs/>
                <w:kern w:val="0"/>
                <w:szCs w:val="21"/>
              </w:rPr>
            </w:pPr>
            <w:r>
              <w:rPr>
                <w:rFonts w:hint="eastAsia"/>
                <w:b/>
                <w:bCs/>
                <w:kern w:val="0"/>
                <w:szCs w:val="21"/>
              </w:rPr>
              <w:t>3、地下水环境</w:t>
            </w:r>
          </w:p>
          <w:p>
            <w:pPr>
              <w:adjustRightInd w:val="0"/>
              <w:snapToGrid w:val="0"/>
              <w:spacing w:line="500" w:lineRule="exact"/>
              <w:ind w:firstLine="420" w:firstLineChars="200"/>
              <w:rPr>
                <w:rFonts w:hint="eastAsia"/>
                <w:kern w:val="0"/>
                <w:szCs w:val="21"/>
              </w:rPr>
            </w:pPr>
            <w:r>
              <w:rPr>
                <w:rFonts w:hint="eastAsia"/>
                <w:kern w:val="0"/>
                <w:szCs w:val="21"/>
              </w:rPr>
              <w:t>项目厂界外500米范围内无地下水环境保护目标。</w:t>
            </w:r>
          </w:p>
          <w:p>
            <w:pPr>
              <w:adjustRightInd w:val="0"/>
              <w:snapToGrid w:val="0"/>
              <w:spacing w:line="500" w:lineRule="exact"/>
              <w:ind w:firstLine="422" w:firstLineChars="200"/>
              <w:rPr>
                <w:rFonts w:hint="eastAsia"/>
                <w:b/>
                <w:bCs/>
                <w:kern w:val="0"/>
                <w:szCs w:val="21"/>
              </w:rPr>
            </w:pPr>
            <w:r>
              <w:rPr>
                <w:rFonts w:hint="eastAsia"/>
                <w:b/>
                <w:bCs/>
                <w:kern w:val="0"/>
                <w:szCs w:val="21"/>
              </w:rPr>
              <w:t>4、生态环境</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color w:val="000000"/>
                <w:kern w:val="0"/>
                <w:szCs w:val="21"/>
                <w:lang w:bidi="ar"/>
              </w:rPr>
              <w:t>本项目不涉及生态环境保护目标。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adjustRightInd w:val="0"/>
              <w:snapToGrid w:val="0"/>
              <w:jc w:val="center"/>
              <w:rPr>
                <w:kern w:val="0"/>
                <w:szCs w:val="21"/>
              </w:rPr>
            </w:pPr>
            <w:r>
              <w:rPr>
                <w:kern w:val="0"/>
                <w:szCs w:val="21"/>
              </w:rPr>
              <w:t>污染</w:t>
            </w:r>
          </w:p>
          <w:p>
            <w:pPr>
              <w:adjustRightInd w:val="0"/>
              <w:snapToGrid w:val="0"/>
              <w:jc w:val="center"/>
              <w:rPr>
                <w:kern w:val="0"/>
                <w:szCs w:val="21"/>
              </w:rPr>
            </w:pPr>
            <w:r>
              <w:rPr>
                <w:kern w:val="0"/>
                <w:szCs w:val="21"/>
              </w:rPr>
              <w:t>物排</w:t>
            </w:r>
          </w:p>
          <w:p>
            <w:pPr>
              <w:adjustRightInd w:val="0"/>
              <w:snapToGrid w:val="0"/>
              <w:jc w:val="center"/>
              <w:rPr>
                <w:kern w:val="0"/>
                <w:szCs w:val="21"/>
              </w:rPr>
            </w:pPr>
            <w:r>
              <w:rPr>
                <w:kern w:val="0"/>
                <w:szCs w:val="21"/>
              </w:rPr>
              <w:t>放控</w:t>
            </w:r>
          </w:p>
          <w:p>
            <w:pPr>
              <w:adjustRightInd w:val="0"/>
              <w:snapToGrid w:val="0"/>
              <w:jc w:val="center"/>
              <w:rPr>
                <w:kern w:val="0"/>
                <w:szCs w:val="21"/>
              </w:rPr>
            </w:pPr>
            <w:r>
              <w:rPr>
                <w:kern w:val="0"/>
                <w:szCs w:val="21"/>
              </w:rPr>
              <w:t>制标</w:t>
            </w:r>
          </w:p>
          <w:p>
            <w:pPr>
              <w:bidi w:val="0"/>
              <w:jc w:val="center"/>
              <w:rPr>
                <w:rFonts w:hint="eastAsia"/>
                <w:lang w:eastAsia="zh-CN"/>
              </w:rPr>
            </w:pPr>
            <w:r>
              <w:rPr>
                <w:kern w:val="0"/>
                <w:szCs w:val="21"/>
              </w:rPr>
              <w:t>准</w:t>
            </w:r>
          </w:p>
        </w:tc>
        <w:tc>
          <w:tcPr>
            <w:tcW w:w="8326" w:type="dxa"/>
          </w:tcPr>
          <w:p>
            <w:pPr>
              <w:spacing w:line="360" w:lineRule="auto"/>
              <w:ind w:firstLine="482"/>
              <w:rPr>
                <w:b/>
                <w:bCs/>
                <w:szCs w:val="21"/>
              </w:rPr>
            </w:pPr>
            <w:r>
              <w:rPr>
                <w:b/>
                <w:bCs/>
                <w:szCs w:val="21"/>
              </w:rPr>
              <w:t>1、大气污染物排放标准</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szCs w:val="21"/>
              </w:rPr>
            </w:pPr>
            <w:r>
              <w:rPr>
                <w:rFonts w:hint="eastAsia"/>
                <w:szCs w:val="21"/>
              </w:rPr>
              <w:t>本项目恶臭气体NH</w:t>
            </w:r>
            <w:r>
              <w:rPr>
                <w:rFonts w:hint="eastAsia"/>
                <w:szCs w:val="21"/>
                <w:vertAlign w:val="subscript"/>
              </w:rPr>
              <w:t>3</w:t>
            </w:r>
            <w:r>
              <w:rPr>
                <w:rFonts w:hint="eastAsia"/>
                <w:szCs w:val="21"/>
              </w:rPr>
              <w:t>、H</w:t>
            </w:r>
            <w:r>
              <w:rPr>
                <w:rFonts w:hint="eastAsia"/>
                <w:szCs w:val="21"/>
                <w:vertAlign w:val="subscript"/>
              </w:rPr>
              <w:t>2</w:t>
            </w:r>
            <w:r>
              <w:rPr>
                <w:rFonts w:hint="eastAsia"/>
                <w:szCs w:val="21"/>
              </w:rPr>
              <w:t>S以及臭气浓度执行《恶臭污染物排放标准》（GB14554-93）中相关标准，</w:t>
            </w:r>
            <w:r>
              <w:rPr>
                <w:szCs w:val="21"/>
              </w:rPr>
              <w:t>具体数值见下表。</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jc w:val="center"/>
              <w:textAlignment w:val="auto"/>
              <w:rPr>
                <w:rFonts w:hint="eastAsia"/>
                <w:b/>
                <w:bCs/>
              </w:rPr>
            </w:pPr>
            <w:r>
              <w:rPr>
                <w:b/>
                <w:bCs/>
              </w:rPr>
              <w:t>表3-</w:t>
            </w:r>
            <w:r>
              <w:rPr>
                <w:rFonts w:hint="eastAsia"/>
                <w:b/>
                <w:bCs/>
                <w:lang w:val="en-US" w:eastAsia="zh-CN"/>
              </w:rPr>
              <w:t xml:space="preserve">3 </w:t>
            </w:r>
            <w:r>
              <w:rPr>
                <w:rFonts w:hint="eastAsia"/>
                <w:b/>
                <w:bCs/>
              </w:rPr>
              <w:t>大气污染物排放标准</w:t>
            </w:r>
          </w:p>
          <w:tbl>
            <w:tblPr>
              <w:tblStyle w:val="11"/>
              <w:tblW w:w="496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160"/>
              <w:gridCol w:w="2790"/>
              <w:gridCol w:w="31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340" w:type="pct"/>
                  <w:noWrap w:val="0"/>
                  <w:vAlign w:val="center"/>
                </w:tcPr>
                <w:p>
                  <w:pPr>
                    <w:jc w:val="center"/>
                    <w:rPr>
                      <w:b/>
                      <w:bCs/>
                      <w:sz w:val="18"/>
                      <w:szCs w:val="18"/>
                    </w:rPr>
                  </w:pPr>
                  <w:r>
                    <w:rPr>
                      <w:b/>
                      <w:bCs/>
                      <w:sz w:val="18"/>
                      <w:szCs w:val="18"/>
                    </w:rPr>
                    <w:t>污染物</w:t>
                  </w:r>
                </w:p>
              </w:tc>
              <w:tc>
                <w:tcPr>
                  <w:tcW w:w="1730" w:type="pct"/>
                  <w:noWrap w:val="0"/>
                  <w:vAlign w:val="center"/>
                </w:tcPr>
                <w:p>
                  <w:pPr>
                    <w:jc w:val="center"/>
                    <w:rPr>
                      <w:b/>
                      <w:bCs/>
                      <w:sz w:val="18"/>
                      <w:szCs w:val="18"/>
                    </w:rPr>
                  </w:pPr>
                  <w:r>
                    <w:rPr>
                      <w:b/>
                      <w:bCs/>
                      <w:sz w:val="18"/>
                      <w:szCs w:val="18"/>
                    </w:rPr>
                    <w:t>最高允许排放速率（kg/h）</w:t>
                  </w:r>
                </w:p>
              </w:tc>
              <w:tc>
                <w:tcPr>
                  <w:tcW w:w="1928" w:type="pct"/>
                  <w:noWrap w:val="0"/>
                  <w:vAlign w:val="center"/>
                </w:tcPr>
                <w:p>
                  <w:pPr>
                    <w:jc w:val="center"/>
                    <w:rPr>
                      <w:rFonts w:hint="eastAsia" w:eastAsia="宋体"/>
                      <w:b/>
                      <w:bCs/>
                      <w:sz w:val="18"/>
                      <w:szCs w:val="18"/>
                      <w:lang w:eastAsia="zh-CN"/>
                    </w:rPr>
                  </w:pPr>
                  <w:r>
                    <w:rPr>
                      <w:rFonts w:hint="eastAsia"/>
                      <w:b/>
                      <w:bCs/>
                      <w:sz w:val="18"/>
                      <w:szCs w:val="18"/>
                      <w:lang w:eastAsia="zh-CN"/>
                    </w:rPr>
                    <w:t>无组织排放监控浓度限值（</w:t>
                  </w:r>
                  <w:r>
                    <w:rPr>
                      <w:rFonts w:hint="eastAsia"/>
                      <w:b/>
                      <w:bCs/>
                      <w:sz w:val="18"/>
                      <w:szCs w:val="18"/>
                      <w:lang w:val="en-US" w:eastAsia="zh-CN"/>
                    </w:rPr>
                    <w:t>mg/m</w:t>
                  </w:r>
                  <w:r>
                    <w:rPr>
                      <w:rFonts w:hint="eastAsia"/>
                      <w:b/>
                      <w:bCs/>
                      <w:sz w:val="18"/>
                      <w:szCs w:val="18"/>
                      <w:vertAlign w:val="superscript"/>
                      <w:lang w:val="en-US" w:eastAsia="zh-CN"/>
                    </w:rPr>
                    <w:t>3</w:t>
                  </w:r>
                  <w:r>
                    <w:rPr>
                      <w:rFonts w:hint="eastAsia"/>
                      <w:b/>
                      <w:bCs/>
                      <w:sz w:val="18"/>
                      <w:szCs w:val="18"/>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340" w:type="pct"/>
                  <w:noWrap w:val="0"/>
                  <w:vAlign w:val="center"/>
                </w:tcPr>
                <w:p>
                  <w:pPr>
                    <w:jc w:val="center"/>
                    <w:rPr>
                      <w:sz w:val="18"/>
                      <w:szCs w:val="18"/>
                    </w:rPr>
                  </w:pPr>
                  <w:r>
                    <w:rPr>
                      <w:rFonts w:hint="eastAsia"/>
                      <w:szCs w:val="21"/>
                    </w:rPr>
                    <w:t>NH</w:t>
                  </w:r>
                  <w:r>
                    <w:rPr>
                      <w:rFonts w:hint="eastAsia"/>
                      <w:szCs w:val="21"/>
                      <w:vertAlign w:val="subscript"/>
                    </w:rPr>
                    <w:t>3</w:t>
                  </w:r>
                </w:p>
              </w:tc>
              <w:tc>
                <w:tcPr>
                  <w:tcW w:w="1730" w:type="pct"/>
                  <w:noWrap w:val="0"/>
                  <w:vAlign w:val="center"/>
                </w:tcPr>
                <w:p>
                  <w:pPr>
                    <w:jc w:val="center"/>
                    <w:rPr>
                      <w:rFonts w:hint="default" w:eastAsia="宋体"/>
                      <w:sz w:val="18"/>
                      <w:szCs w:val="18"/>
                      <w:lang w:val="en-US" w:eastAsia="zh-CN"/>
                    </w:rPr>
                  </w:pPr>
                  <w:r>
                    <w:rPr>
                      <w:rFonts w:hint="eastAsia"/>
                      <w:sz w:val="18"/>
                      <w:szCs w:val="18"/>
                      <w:lang w:val="en-US" w:eastAsia="zh-CN"/>
                    </w:rPr>
                    <w:t>/</w:t>
                  </w:r>
                </w:p>
              </w:tc>
              <w:tc>
                <w:tcPr>
                  <w:tcW w:w="1928" w:type="pct"/>
                  <w:noWrap w:val="0"/>
                  <w:vAlign w:val="center"/>
                </w:tcPr>
                <w:p>
                  <w:pPr>
                    <w:jc w:val="center"/>
                    <w:rPr>
                      <w:rFonts w:hint="default" w:eastAsia="宋体"/>
                      <w:sz w:val="18"/>
                      <w:szCs w:val="18"/>
                      <w:lang w:val="en-US" w:eastAsia="zh-CN"/>
                    </w:rPr>
                  </w:pPr>
                  <w:r>
                    <w:rPr>
                      <w:rFonts w:hint="eastAsia"/>
                      <w:sz w:val="18"/>
                      <w:szCs w:val="18"/>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340" w:type="pct"/>
                  <w:noWrap w:val="0"/>
                  <w:vAlign w:val="center"/>
                </w:tcPr>
                <w:p>
                  <w:pPr>
                    <w:jc w:val="center"/>
                    <w:rPr>
                      <w:sz w:val="18"/>
                      <w:szCs w:val="18"/>
                    </w:rPr>
                  </w:pPr>
                  <w:r>
                    <w:rPr>
                      <w:rFonts w:hint="eastAsia"/>
                      <w:szCs w:val="21"/>
                    </w:rPr>
                    <w:t>H</w:t>
                  </w:r>
                  <w:r>
                    <w:rPr>
                      <w:rFonts w:hint="eastAsia"/>
                      <w:szCs w:val="21"/>
                      <w:vertAlign w:val="subscript"/>
                    </w:rPr>
                    <w:t>2</w:t>
                  </w:r>
                  <w:r>
                    <w:rPr>
                      <w:rFonts w:hint="eastAsia"/>
                      <w:szCs w:val="21"/>
                    </w:rPr>
                    <w:t>S</w:t>
                  </w:r>
                </w:p>
              </w:tc>
              <w:tc>
                <w:tcPr>
                  <w:tcW w:w="1730" w:type="pct"/>
                  <w:noWrap w:val="0"/>
                  <w:vAlign w:val="center"/>
                </w:tcPr>
                <w:p>
                  <w:pPr>
                    <w:jc w:val="center"/>
                    <w:rPr>
                      <w:rFonts w:hint="default" w:eastAsia="宋体"/>
                      <w:sz w:val="18"/>
                      <w:szCs w:val="18"/>
                      <w:lang w:val="en-US" w:eastAsia="zh-CN"/>
                    </w:rPr>
                  </w:pPr>
                  <w:r>
                    <w:rPr>
                      <w:rFonts w:hint="eastAsia"/>
                      <w:sz w:val="18"/>
                      <w:szCs w:val="18"/>
                      <w:lang w:val="en-US" w:eastAsia="zh-CN"/>
                    </w:rPr>
                    <w:t>/</w:t>
                  </w:r>
                </w:p>
              </w:tc>
              <w:tc>
                <w:tcPr>
                  <w:tcW w:w="1928" w:type="pct"/>
                  <w:noWrap w:val="0"/>
                  <w:vAlign w:val="center"/>
                </w:tcPr>
                <w:p>
                  <w:pPr>
                    <w:jc w:val="center"/>
                    <w:rPr>
                      <w:rFonts w:hint="default" w:eastAsia="宋体"/>
                      <w:sz w:val="18"/>
                      <w:szCs w:val="18"/>
                      <w:lang w:val="en-US" w:eastAsia="zh-CN"/>
                    </w:rPr>
                  </w:pPr>
                  <w:r>
                    <w:rPr>
                      <w:rFonts w:hint="eastAsia"/>
                      <w:sz w:val="18"/>
                      <w:szCs w:val="18"/>
                      <w:lang w:val="en-US" w:eastAsia="zh-CN"/>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1340" w:type="pct"/>
                  <w:noWrap w:val="0"/>
                  <w:vAlign w:val="center"/>
                </w:tcPr>
                <w:p>
                  <w:pPr>
                    <w:jc w:val="center"/>
                    <w:rPr>
                      <w:rFonts w:hint="default" w:eastAsia="宋体"/>
                      <w:sz w:val="18"/>
                      <w:szCs w:val="18"/>
                      <w:lang w:val="en-US" w:eastAsia="zh-CN"/>
                    </w:rPr>
                  </w:pPr>
                  <w:r>
                    <w:rPr>
                      <w:rFonts w:hint="eastAsia"/>
                      <w:sz w:val="18"/>
                      <w:szCs w:val="18"/>
                      <w:lang w:val="en-US" w:eastAsia="zh-CN"/>
                    </w:rPr>
                    <w:t>臭气浓度</w:t>
                  </w:r>
                </w:p>
              </w:tc>
              <w:tc>
                <w:tcPr>
                  <w:tcW w:w="1730" w:type="pct"/>
                  <w:noWrap w:val="0"/>
                  <w:vAlign w:val="center"/>
                </w:tcPr>
                <w:p>
                  <w:pPr>
                    <w:jc w:val="center"/>
                    <w:rPr>
                      <w:rFonts w:hint="default" w:eastAsia="宋体"/>
                      <w:sz w:val="18"/>
                      <w:szCs w:val="18"/>
                      <w:lang w:val="en-US" w:eastAsia="zh-CN"/>
                    </w:rPr>
                  </w:pPr>
                  <w:r>
                    <w:rPr>
                      <w:rFonts w:hint="eastAsia"/>
                      <w:sz w:val="18"/>
                      <w:szCs w:val="18"/>
                      <w:lang w:val="en-US" w:eastAsia="zh-CN"/>
                    </w:rPr>
                    <w:t>/</w:t>
                  </w:r>
                </w:p>
              </w:tc>
              <w:tc>
                <w:tcPr>
                  <w:tcW w:w="1928" w:type="pct"/>
                  <w:noWrap w:val="0"/>
                  <w:vAlign w:val="center"/>
                </w:tcPr>
                <w:p>
                  <w:pPr>
                    <w:jc w:val="center"/>
                    <w:rPr>
                      <w:rFonts w:hint="default" w:eastAsia="宋体"/>
                      <w:sz w:val="18"/>
                      <w:szCs w:val="18"/>
                      <w:lang w:val="en-US" w:eastAsia="zh-CN"/>
                    </w:rPr>
                  </w:pPr>
                  <w:r>
                    <w:rPr>
                      <w:rFonts w:hint="eastAsia"/>
                      <w:sz w:val="18"/>
                      <w:szCs w:val="18"/>
                      <w:lang w:val="en-US" w:eastAsia="zh-CN"/>
                    </w:rPr>
                    <w:t>20（无量纲）</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200"/>
              <w:jc w:val="left"/>
              <w:textAlignment w:val="auto"/>
              <w:rPr>
                <w:b/>
              </w:rPr>
            </w:pPr>
            <w:r>
              <w:rPr>
                <w:rFonts w:hint="eastAsia"/>
                <w:b/>
                <w:lang w:val="en-US" w:eastAsia="zh-CN"/>
              </w:rPr>
              <w:t>2、</w:t>
            </w:r>
            <w:r>
              <w:rPr>
                <w:b/>
              </w:rPr>
              <w:t>废水污染物排放标准</w:t>
            </w:r>
          </w:p>
          <w:p>
            <w:pPr>
              <w:numPr>
                <w:ilvl w:val="0"/>
                <w:numId w:val="0"/>
              </w:numPr>
              <w:adjustRightInd w:val="0"/>
              <w:snapToGrid w:val="0"/>
              <w:spacing w:line="500" w:lineRule="exact"/>
              <w:ind w:firstLine="420" w:firstLineChars="200"/>
              <w:rPr>
                <w:rFonts w:hint="eastAsia"/>
                <w:szCs w:val="21"/>
                <w:lang w:eastAsia="zh-CN"/>
              </w:rPr>
            </w:pPr>
            <w:r>
              <w:rPr>
                <w:rFonts w:hint="eastAsia"/>
                <w:szCs w:val="21"/>
              </w:rPr>
              <w:t>本项目无新增员工，不新增生活污水</w:t>
            </w:r>
            <w:r>
              <w:rPr>
                <w:rFonts w:hint="eastAsia"/>
                <w:szCs w:val="21"/>
                <w:lang w:eastAsia="zh-CN"/>
              </w:rPr>
              <w:t>，主要废水包括水洗废水、柔软废水、脱水废水以及蒸汽冷凝水，蒸汽冷凝水冷却后回用，水洗废水、柔软废水与脱水废水经厂区污水处理设施处理后排入启东城市污水处理厂处理。项目废水排放标准执行《纺织染整工业水污染物排放标准》（GB4287-2012）表2标准（间接排放），LAS排放标准参考《污水综合排放标准》（GB8978-1996）表4三级标准的相应浓度值；本项目基准排水量需要满足《纺织染整工业水污染物排放标准》（GB4287-2012）表 2 中纱线、针织物基准排水量的要求。雨水进入园区雨水管网，雨水排放标准参照执行南通市地方要求，即：特征污染物不得检出。本项目无新增废水排放。废水排放标准见表3-4。</w:t>
            </w:r>
          </w:p>
          <w:p>
            <w:pPr>
              <w:spacing w:line="500" w:lineRule="exact"/>
              <w:ind w:firstLine="422" w:firstLineChars="200"/>
              <w:jc w:val="center"/>
              <w:rPr>
                <w:szCs w:val="21"/>
              </w:rPr>
            </w:pPr>
            <w:r>
              <w:rPr>
                <w:b/>
                <w:szCs w:val="21"/>
              </w:rPr>
              <w:t xml:space="preserve"> 表3-</w:t>
            </w:r>
            <w:r>
              <w:rPr>
                <w:rFonts w:hint="eastAsia"/>
                <w:b/>
                <w:szCs w:val="21"/>
                <w:lang w:val="en-US" w:eastAsia="zh-CN"/>
              </w:rPr>
              <w:t>4</w:t>
            </w:r>
            <w:r>
              <w:rPr>
                <w:b/>
                <w:szCs w:val="21"/>
              </w:rPr>
              <w:t xml:space="preserve"> 废水排放标准     </w:t>
            </w:r>
            <w:r>
              <w:rPr>
                <w:szCs w:val="21"/>
              </w:rPr>
              <w:t>单位：mg/L，pH无量纲</w:t>
            </w:r>
          </w:p>
          <w:tbl>
            <w:tblPr>
              <w:tblStyle w:val="11"/>
              <w:tblW w:w="799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407"/>
              <w:gridCol w:w="1860"/>
              <w:gridCol w:w="1457"/>
              <w:gridCol w:w="19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70" w:type="dxa"/>
                  <w:noWrap w:val="0"/>
                  <w:vAlign w:val="center"/>
                </w:tcPr>
                <w:p>
                  <w:pPr>
                    <w:jc w:val="center"/>
                    <w:rPr>
                      <w:sz w:val="18"/>
                      <w:szCs w:val="18"/>
                    </w:rPr>
                  </w:pPr>
                  <w:r>
                    <w:rPr>
                      <w:sz w:val="18"/>
                      <w:szCs w:val="18"/>
                    </w:rPr>
                    <w:t>序号</w:t>
                  </w:r>
                </w:p>
              </w:tc>
              <w:tc>
                <w:tcPr>
                  <w:tcW w:w="1407" w:type="dxa"/>
                  <w:noWrap w:val="0"/>
                  <w:vAlign w:val="center"/>
                </w:tcPr>
                <w:p>
                  <w:pPr>
                    <w:jc w:val="center"/>
                    <w:rPr>
                      <w:sz w:val="18"/>
                      <w:szCs w:val="18"/>
                    </w:rPr>
                  </w:pPr>
                  <w:r>
                    <w:rPr>
                      <w:sz w:val="18"/>
                      <w:szCs w:val="18"/>
                    </w:rPr>
                    <w:t>污染物名称</w:t>
                  </w:r>
                </w:p>
              </w:tc>
              <w:tc>
                <w:tcPr>
                  <w:tcW w:w="1860" w:type="dxa"/>
                  <w:noWrap w:val="0"/>
                  <w:vAlign w:val="center"/>
                </w:tcPr>
                <w:p>
                  <w:pPr>
                    <w:jc w:val="center"/>
                    <w:rPr>
                      <w:sz w:val="18"/>
                      <w:szCs w:val="18"/>
                    </w:rPr>
                  </w:pPr>
                  <w:r>
                    <w:rPr>
                      <w:rFonts w:hint="eastAsia"/>
                      <w:sz w:val="18"/>
                      <w:szCs w:val="18"/>
                    </w:rPr>
                    <w:t>《纺织染整工业水污染物排放标准》（GB4287-2012）</w:t>
                  </w:r>
                </w:p>
              </w:tc>
              <w:tc>
                <w:tcPr>
                  <w:tcW w:w="1457" w:type="dxa"/>
                  <w:noWrap w:val="0"/>
                  <w:vAlign w:val="center"/>
                </w:tcPr>
                <w:p>
                  <w:pPr>
                    <w:jc w:val="center"/>
                    <w:rPr>
                      <w:rFonts w:hint="eastAsia" w:eastAsia="宋体"/>
                      <w:sz w:val="18"/>
                      <w:szCs w:val="18"/>
                      <w:lang w:eastAsia="zh-CN"/>
                    </w:rPr>
                  </w:pPr>
                  <w:r>
                    <w:rPr>
                      <w:rFonts w:hint="eastAsia"/>
                      <w:sz w:val="18"/>
                      <w:szCs w:val="18"/>
                      <w:lang w:eastAsia="zh-CN"/>
                    </w:rPr>
                    <w:t>启东城市污水处理厂接管要求</w:t>
                  </w:r>
                </w:p>
              </w:tc>
              <w:tc>
                <w:tcPr>
                  <w:tcW w:w="1905" w:type="dxa"/>
                  <w:noWrap w:val="0"/>
                  <w:vAlign w:val="center"/>
                </w:tcPr>
                <w:p>
                  <w:pPr>
                    <w:jc w:val="center"/>
                    <w:rPr>
                      <w:sz w:val="18"/>
                      <w:szCs w:val="18"/>
                    </w:rPr>
                  </w:pPr>
                  <w:r>
                    <w:rPr>
                      <w:sz w:val="18"/>
                      <w:szCs w:val="18"/>
                    </w:rPr>
                    <w:t>污水处理厂尾水排放标准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70" w:type="dxa"/>
                  <w:noWrap w:val="0"/>
                  <w:vAlign w:val="center"/>
                </w:tcPr>
                <w:p>
                  <w:pPr>
                    <w:jc w:val="center"/>
                    <w:rPr>
                      <w:sz w:val="18"/>
                      <w:szCs w:val="18"/>
                    </w:rPr>
                  </w:pPr>
                  <w:r>
                    <w:rPr>
                      <w:sz w:val="18"/>
                      <w:szCs w:val="18"/>
                    </w:rPr>
                    <w:t>1</w:t>
                  </w:r>
                </w:p>
              </w:tc>
              <w:tc>
                <w:tcPr>
                  <w:tcW w:w="1407" w:type="dxa"/>
                  <w:noWrap w:val="0"/>
                  <w:vAlign w:val="center"/>
                </w:tcPr>
                <w:p>
                  <w:pPr>
                    <w:jc w:val="center"/>
                    <w:rPr>
                      <w:sz w:val="18"/>
                      <w:szCs w:val="18"/>
                    </w:rPr>
                  </w:pPr>
                  <w:r>
                    <w:rPr>
                      <w:sz w:val="18"/>
                      <w:szCs w:val="18"/>
                    </w:rPr>
                    <w:t>pH</w:t>
                  </w:r>
                </w:p>
              </w:tc>
              <w:tc>
                <w:tcPr>
                  <w:tcW w:w="1860" w:type="dxa"/>
                  <w:noWrap w:val="0"/>
                  <w:vAlign w:val="center"/>
                </w:tcPr>
                <w:p>
                  <w:pPr>
                    <w:jc w:val="center"/>
                    <w:rPr>
                      <w:sz w:val="18"/>
                      <w:szCs w:val="18"/>
                    </w:rPr>
                  </w:pPr>
                  <w:r>
                    <w:rPr>
                      <w:sz w:val="18"/>
                      <w:szCs w:val="18"/>
                    </w:rPr>
                    <w:t>6~9</w:t>
                  </w:r>
                </w:p>
              </w:tc>
              <w:tc>
                <w:tcPr>
                  <w:tcW w:w="1457" w:type="dxa"/>
                  <w:noWrap w:val="0"/>
                  <w:vAlign w:val="center"/>
                </w:tcPr>
                <w:p>
                  <w:pPr>
                    <w:jc w:val="center"/>
                    <w:rPr>
                      <w:sz w:val="18"/>
                      <w:szCs w:val="18"/>
                    </w:rPr>
                  </w:pPr>
                  <w:r>
                    <w:rPr>
                      <w:sz w:val="18"/>
                      <w:szCs w:val="18"/>
                    </w:rPr>
                    <w:t>6~9</w:t>
                  </w:r>
                </w:p>
              </w:tc>
              <w:tc>
                <w:tcPr>
                  <w:tcW w:w="1905" w:type="dxa"/>
                  <w:noWrap w:val="0"/>
                  <w:vAlign w:val="center"/>
                </w:tcPr>
                <w:p>
                  <w:pPr>
                    <w:jc w:val="center"/>
                    <w:rPr>
                      <w:sz w:val="18"/>
                      <w:szCs w:val="18"/>
                    </w:rPr>
                  </w:pPr>
                  <w:r>
                    <w:rPr>
                      <w:sz w:val="18"/>
                      <w:szCs w:val="18"/>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0" w:type="dxa"/>
                  <w:noWrap w:val="0"/>
                  <w:vAlign w:val="center"/>
                </w:tcPr>
                <w:p>
                  <w:pPr>
                    <w:jc w:val="center"/>
                    <w:rPr>
                      <w:sz w:val="18"/>
                      <w:szCs w:val="18"/>
                    </w:rPr>
                  </w:pPr>
                  <w:r>
                    <w:rPr>
                      <w:sz w:val="18"/>
                      <w:szCs w:val="18"/>
                    </w:rPr>
                    <w:t>2</w:t>
                  </w:r>
                </w:p>
              </w:tc>
              <w:tc>
                <w:tcPr>
                  <w:tcW w:w="1407" w:type="dxa"/>
                  <w:noWrap w:val="0"/>
                  <w:vAlign w:val="center"/>
                </w:tcPr>
                <w:p>
                  <w:pPr>
                    <w:jc w:val="center"/>
                    <w:rPr>
                      <w:sz w:val="18"/>
                      <w:szCs w:val="18"/>
                    </w:rPr>
                  </w:pPr>
                  <w:r>
                    <w:rPr>
                      <w:sz w:val="18"/>
                      <w:szCs w:val="18"/>
                    </w:rPr>
                    <w:t>COD</w:t>
                  </w:r>
                </w:p>
              </w:tc>
              <w:tc>
                <w:tcPr>
                  <w:tcW w:w="1860" w:type="dxa"/>
                  <w:noWrap w:val="0"/>
                  <w:vAlign w:val="center"/>
                </w:tcPr>
                <w:p>
                  <w:pPr>
                    <w:jc w:val="center"/>
                    <w:rPr>
                      <w:rFonts w:hint="default"/>
                      <w:sz w:val="18"/>
                      <w:szCs w:val="18"/>
                      <w:lang w:val="en-US"/>
                    </w:rPr>
                  </w:pPr>
                  <w:r>
                    <w:rPr>
                      <w:rFonts w:hint="eastAsia"/>
                      <w:sz w:val="18"/>
                      <w:szCs w:val="18"/>
                      <w:lang w:val="en-US" w:eastAsia="zh-CN"/>
                    </w:rPr>
                    <w:t>200</w:t>
                  </w:r>
                </w:p>
              </w:tc>
              <w:tc>
                <w:tcPr>
                  <w:tcW w:w="1457" w:type="dxa"/>
                  <w:noWrap w:val="0"/>
                  <w:vAlign w:val="center"/>
                </w:tcPr>
                <w:p>
                  <w:pPr>
                    <w:jc w:val="center"/>
                    <w:rPr>
                      <w:rFonts w:hint="default" w:eastAsia="宋体"/>
                      <w:sz w:val="18"/>
                      <w:szCs w:val="18"/>
                      <w:lang w:val="en-US" w:eastAsia="zh-CN"/>
                    </w:rPr>
                  </w:pPr>
                  <w:r>
                    <w:rPr>
                      <w:rFonts w:hint="eastAsia"/>
                      <w:sz w:val="18"/>
                      <w:szCs w:val="18"/>
                      <w:lang w:val="en-US" w:eastAsia="zh-CN"/>
                    </w:rPr>
                    <w:t>500</w:t>
                  </w:r>
                </w:p>
              </w:tc>
              <w:tc>
                <w:tcPr>
                  <w:tcW w:w="1905" w:type="dxa"/>
                  <w:noWrap w:val="0"/>
                  <w:vAlign w:val="center"/>
                </w:tcPr>
                <w:p>
                  <w:pPr>
                    <w:jc w:val="center"/>
                    <w:rPr>
                      <w:sz w:val="18"/>
                      <w:szCs w:val="18"/>
                    </w:rPr>
                  </w:pPr>
                  <w:r>
                    <w:rPr>
                      <w:sz w:val="18"/>
                      <w:szCs w:val="18"/>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70" w:type="dxa"/>
                  <w:noWrap w:val="0"/>
                  <w:vAlign w:val="center"/>
                </w:tcPr>
                <w:p>
                  <w:pPr>
                    <w:jc w:val="center"/>
                    <w:rPr>
                      <w:sz w:val="18"/>
                      <w:szCs w:val="18"/>
                    </w:rPr>
                  </w:pPr>
                  <w:r>
                    <w:rPr>
                      <w:sz w:val="18"/>
                      <w:szCs w:val="18"/>
                    </w:rPr>
                    <w:t>3</w:t>
                  </w:r>
                </w:p>
              </w:tc>
              <w:tc>
                <w:tcPr>
                  <w:tcW w:w="1407" w:type="dxa"/>
                  <w:noWrap w:val="0"/>
                  <w:vAlign w:val="center"/>
                </w:tcPr>
                <w:p>
                  <w:pPr>
                    <w:jc w:val="center"/>
                    <w:rPr>
                      <w:sz w:val="18"/>
                      <w:szCs w:val="18"/>
                    </w:rPr>
                  </w:pPr>
                  <w:r>
                    <w:rPr>
                      <w:rFonts w:hint="eastAsia"/>
                      <w:sz w:val="18"/>
                      <w:szCs w:val="18"/>
                    </w:rPr>
                    <w:t>BOD</w:t>
                  </w:r>
                  <w:r>
                    <w:rPr>
                      <w:rFonts w:hint="eastAsia"/>
                      <w:sz w:val="18"/>
                      <w:szCs w:val="18"/>
                      <w:vertAlign w:val="subscript"/>
                    </w:rPr>
                    <w:t>5</w:t>
                  </w:r>
                </w:p>
              </w:tc>
              <w:tc>
                <w:tcPr>
                  <w:tcW w:w="1860" w:type="dxa"/>
                  <w:noWrap w:val="0"/>
                  <w:vAlign w:val="center"/>
                </w:tcPr>
                <w:p>
                  <w:pPr>
                    <w:jc w:val="center"/>
                    <w:rPr>
                      <w:rFonts w:hint="default" w:eastAsia="宋体"/>
                      <w:sz w:val="18"/>
                      <w:szCs w:val="18"/>
                      <w:lang w:val="en-US" w:eastAsia="zh-CN"/>
                    </w:rPr>
                  </w:pPr>
                  <w:r>
                    <w:rPr>
                      <w:rFonts w:hint="eastAsia"/>
                      <w:sz w:val="18"/>
                      <w:szCs w:val="18"/>
                      <w:lang w:val="en-US" w:eastAsia="zh-CN"/>
                    </w:rPr>
                    <w:t>50</w:t>
                  </w:r>
                </w:p>
              </w:tc>
              <w:tc>
                <w:tcPr>
                  <w:tcW w:w="1457" w:type="dxa"/>
                  <w:noWrap w:val="0"/>
                  <w:vAlign w:val="center"/>
                </w:tcPr>
                <w:p>
                  <w:pPr>
                    <w:jc w:val="center"/>
                    <w:rPr>
                      <w:rFonts w:hint="default" w:eastAsia="宋体"/>
                      <w:sz w:val="18"/>
                      <w:szCs w:val="18"/>
                      <w:lang w:val="en-US" w:eastAsia="zh-CN"/>
                    </w:rPr>
                  </w:pPr>
                  <w:r>
                    <w:rPr>
                      <w:rFonts w:hint="eastAsia"/>
                      <w:sz w:val="18"/>
                      <w:szCs w:val="18"/>
                      <w:lang w:val="en-US" w:eastAsia="zh-CN"/>
                    </w:rPr>
                    <w:t>300</w:t>
                  </w:r>
                </w:p>
              </w:tc>
              <w:tc>
                <w:tcPr>
                  <w:tcW w:w="1905" w:type="dxa"/>
                  <w:noWrap w:val="0"/>
                  <w:vAlign w:val="center"/>
                </w:tcPr>
                <w:p>
                  <w:pPr>
                    <w:jc w:val="center"/>
                    <w:rPr>
                      <w:sz w:val="18"/>
                      <w:szCs w:val="18"/>
                    </w:rPr>
                  </w:pPr>
                  <w:r>
                    <w:rPr>
                      <w:sz w:val="18"/>
                      <w:szCs w:val="18"/>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0" w:type="dxa"/>
                  <w:noWrap w:val="0"/>
                  <w:vAlign w:val="center"/>
                </w:tcPr>
                <w:p>
                  <w:pPr>
                    <w:jc w:val="center"/>
                    <w:rPr>
                      <w:sz w:val="18"/>
                      <w:szCs w:val="18"/>
                    </w:rPr>
                  </w:pPr>
                  <w:r>
                    <w:rPr>
                      <w:sz w:val="18"/>
                      <w:szCs w:val="18"/>
                    </w:rPr>
                    <w:t>4</w:t>
                  </w:r>
                </w:p>
              </w:tc>
              <w:tc>
                <w:tcPr>
                  <w:tcW w:w="1407" w:type="dxa"/>
                  <w:noWrap w:val="0"/>
                  <w:vAlign w:val="center"/>
                </w:tcPr>
                <w:p>
                  <w:pPr>
                    <w:jc w:val="center"/>
                    <w:rPr>
                      <w:sz w:val="18"/>
                      <w:szCs w:val="18"/>
                    </w:rPr>
                  </w:pPr>
                  <w:r>
                    <w:rPr>
                      <w:sz w:val="18"/>
                      <w:szCs w:val="18"/>
                    </w:rPr>
                    <w:t>SS</w:t>
                  </w:r>
                </w:p>
              </w:tc>
              <w:tc>
                <w:tcPr>
                  <w:tcW w:w="1860" w:type="dxa"/>
                  <w:noWrap w:val="0"/>
                  <w:vAlign w:val="center"/>
                </w:tcPr>
                <w:p>
                  <w:pPr>
                    <w:jc w:val="center"/>
                    <w:rPr>
                      <w:sz w:val="18"/>
                      <w:szCs w:val="18"/>
                    </w:rPr>
                  </w:pPr>
                  <w:r>
                    <w:rPr>
                      <w:rFonts w:hint="eastAsia"/>
                      <w:sz w:val="18"/>
                      <w:szCs w:val="18"/>
                    </w:rPr>
                    <w:t>100</w:t>
                  </w:r>
                </w:p>
              </w:tc>
              <w:tc>
                <w:tcPr>
                  <w:tcW w:w="1457" w:type="dxa"/>
                  <w:noWrap w:val="0"/>
                  <w:vAlign w:val="center"/>
                </w:tcPr>
                <w:p>
                  <w:pPr>
                    <w:jc w:val="center"/>
                    <w:rPr>
                      <w:rFonts w:hint="default" w:eastAsia="宋体"/>
                      <w:sz w:val="18"/>
                      <w:szCs w:val="18"/>
                      <w:lang w:val="en-US" w:eastAsia="zh-CN"/>
                    </w:rPr>
                  </w:pPr>
                  <w:r>
                    <w:rPr>
                      <w:rFonts w:hint="eastAsia"/>
                      <w:sz w:val="18"/>
                      <w:szCs w:val="18"/>
                      <w:lang w:val="en-US" w:eastAsia="zh-CN"/>
                    </w:rPr>
                    <w:t>400</w:t>
                  </w:r>
                </w:p>
              </w:tc>
              <w:tc>
                <w:tcPr>
                  <w:tcW w:w="1905" w:type="dxa"/>
                  <w:noWrap w:val="0"/>
                  <w:vAlign w:val="center"/>
                </w:tcPr>
                <w:p>
                  <w:pPr>
                    <w:jc w:val="center"/>
                    <w:rPr>
                      <w:sz w:val="18"/>
                      <w:szCs w:val="18"/>
                    </w:rPr>
                  </w:pPr>
                  <w:r>
                    <w:rPr>
                      <w:sz w:val="18"/>
                      <w:szCs w:val="18"/>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70" w:type="dxa"/>
                  <w:noWrap w:val="0"/>
                  <w:vAlign w:val="center"/>
                </w:tcPr>
                <w:p>
                  <w:pPr>
                    <w:jc w:val="center"/>
                    <w:rPr>
                      <w:sz w:val="18"/>
                      <w:szCs w:val="18"/>
                    </w:rPr>
                  </w:pPr>
                  <w:r>
                    <w:rPr>
                      <w:sz w:val="18"/>
                      <w:szCs w:val="18"/>
                    </w:rPr>
                    <w:t>5</w:t>
                  </w:r>
                </w:p>
              </w:tc>
              <w:tc>
                <w:tcPr>
                  <w:tcW w:w="1407" w:type="dxa"/>
                  <w:noWrap w:val="0"/>
                  <w:vAlign w:val="center"/>
                </w:tcPr>
                <w:p>
                  <w:pPr>
                    <w:jc w:val="center"/>
                    <w:rPr>
                      <w:sz w:val="18"/>
                      <w:szCs w:val="18"/>
                    </w:rPr>
                  </w:pPr>
                  <w:r>
                    <w:rPr>
                      <w:sz w:val="18"/>
                      <w:szCs w:val="18"/>
                    </w:rPr>
                    <w:t>NH</w:t>
                  </w:r>
                  <w:r>
                    <w:rPr>
                      <w:sz w:val="18"/>
                      <w:szCs w:val="18"/>
                      <w:vertAlign w:val="subscript"/>
                    </w:rPr>
                    <w:t>3</w:t>
                  </w:r>
                  <w:r>
                    <w:rPr>
                      <w:sz w:val="18"/>
                      <w:szCs w:val="18"/>
                    </w:rPr>
                    <w:t>-N</w:t>
                  </w:r>
                </w:p>
              </w:tc>
              <w:tc>
                <w:tcPr>
                  <w:tcW w:w="1860" w:type="dxa"/>
                  <w:noWrap w:val="0"/>
                  <w:vAlign w:val="center"/>
                </w:tcPr>
                <w:p>
                  <w:pPr>
                    <w:jc w:val="center"/>
                    <w:rPr>
                      <w:sz w:val="18"/>
                      <w:szCs w:val="18"/>
                    </w:rPr>
                  </w:pPr>
                  <w:r>
                    <w:rPr>
                      <w:rFonts w:hint="eastAsia"/>
                      <w:sz w:val="18"/>
                      <w:szCs w:val="18"/>
                    </w:rPr>
                    <w:t>20</w:t>
                  </w:r>
                </w:p>
              </w:tc>
              <w:tc>
                <w:tcPr>
                  <w:tcW w:w="1457" w:type="dxa"/>
                  <w:noWrap w:val="0"/>
                  <w:vAlign w:val="center"/>
                </w:tcPr>
                <w:p>
                  <w:pPr>
                    <w:jc w:val="center"/>
                    <w:rPr>
                      <w:rFonts w:hint="default" w:eastAsia="宋体"/>
                      <w:sz w:val="18"/>
                      <w:szCs w:val="18"/>
                      <w:lang w:val="en-US" w:eastAsia="zh-CN"/>
                    </w:rPr>
                  </w:pPr>
                  <w:r>
                    <w:rPr>
                      <w:rFonts w:hint="eastAsia"/>
                      <w:sz w:val="18"/>
                      <w:szCs w:val="18"/>
                      <w:lang w:val="en-US" w:eastAsia="zh-CN"/>
                    </w:rPr>
                    <w:t>45</w:t>
                  </w:r>
                </w:p>
              </w:tc>
              <w:tc>
                <w:tcPr>
                  <w:tcW w:w="1905" w:type="dxa"/>
                  <w:noWrap w:val="0"/>
                  <w:vAlign w:val="center"/>
                </w:tcPr>
                <w:p>
                  <w:pPr>
                    <w:jc w:val="center"/>
                    <w:rPr>
                      <w:sz w:val="18"/>
                      <w:szCs w:val="18"/>
                    </w:rPr>
                  </w:pPr>
                  <w:r>
                    <w:rPr>
                      <w:sz w:val="18"/>
                      <w:szCs w:val="18"/>
                    </w:rPr>
                    <w:t>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70" w:type="dxa"/>
                  <w:noWrap w:val="0"/>
                  <w:vAlign w:val="center"/>
                </w:tcPr>
                <w:p>
                  <w:pPr>
                    <w:jc w:val="center"/>
                    <w:rPr>
                      <w:sz w:val="18"/>
                      <w:szCs w:val="18"/>
                    </w:rPr>
                  </w:pPr>
                  <w:r>
                    <w:rPr>
                      <w:sz w:val="18"/>
                      <w:szCs w:val="18"/>
                    </w:rPr>
                    <w:t>6</w:t>
                  </w:r>
                </w:p>
              </w:tc>
              <w:tc>
                <w:tcPr>
                  <w:tcW w:w="1407" w:type="dxa"/>
                  <w:noWrap w:val="0"/>
                  <w:vAlign w:val="center"/>
                </w:tcPr>
                <w:p>
                  <w:pPr>
                    <w:jc w:val="center"/>
                    <w:rPr>
                      <w:sz w:val="18"/>
                      <w:szCs w:val="18"/>
                    </w:rPr>
                  </w:pPr>
                  <w:r>
                    <w:rPr>
                      <w:sz w:val="18"/>
                      <w:szCs w:val="18"/>
                    </w:rPr>
                    <w:t>TP</w:t>
                  </w:r>
                </w:p>
              </w:tc>
              <w:tc>
                <w:tcPr>
                  <w:tcW w:w="1860" w:type="dxa"/>
                  <w:noWrap w:val="0"/>
                  <w:vAlign w:val="center"/>
                </w:tcPr>
                <w:p>
                  <w:pPr>
                    <w:jc w:val="center"/>
                    <w:rPr>
                      <w:sz w:val="18"/>
                      <w:szCs w:val="18"/>
                    </w:rPr>
                  </w:pPr>
                  <w:r>
                    <w:rPr>
                      <w:rFonts w:hint="eastAsia"/>
                      <w:sz w:val="18"/>
                      <w:szCs w:val="18"/>
                    </w:rPr>
                    <w:t>1.5</w:t>
                  </w:r>
                </w:p>
              </w:tc>
              <w:tc>
                <w:tcPr>
                  <w:tcW w:w="1457" w:type="dxa"/>
                  <w:noWrap w:val="0"/>
                  <w:vAlign w:val="center"/>
                </w:tcPr>
                <w:p>
                  <w:pPr>
                    <w:jc w:val="center"/>
                    <w:rPr>
                      <w:rFonts w:hint="default" w:eastAsia="宋体"/>
                      <w:sz w:val="18"/>
                      <w:szCs w:val="18"/>
                      <w:lang w:val="en-US" w:eastAsia="zh-CN"/>
                    </w:rPr>
                  </w:pPr>
                  <w:r>
                    <w:rPr>
                      <w:rFonts w:hint="eastAsia"/>
                      <w:sz w:val="18"/>
                      <w:szCs w:val="18"/>
                      <w:lang w:val="en-US" w:eastAsia="zh-CN"/>
                    </w:rPr>
                    <w:t>8</w:t>
                  </w:r>
                </w:p>
              </w:tc>
              <w:tc>
                <w:tcPr>
                  <w:tcW w:w="1905" w:type="dxa"/>
                  <w:noWrap w:val="0"/>
                  <w:vAlign w:val="center"/>
                </w:tcPr>
                <w:p>
                  <w:pPr>
                    <w:jc w:val="center"/>
                    <w:rPr>
                      <w:sz w:val="18"/>
                      <w:szCs w:val="18"/>
                    </w:rPr>
                  </w:pPr>
                  <w:r>
                    <w:rPr>
                      <w:sz w:val="18"/>
                      <w:szCs w:val="18"/>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0" w:type="dxa"/>
                  <w:noWrap w:val="0"/>
                  <w:vAlign w:val="center"/>
                </w:tcPr>
                <w:p>
                  <w:pPr>
                    <w:jc w:val="center"/>
                    <w:rPr>
                      <w:sz w:val="18"/>
                      <w:szCs w:val="18"/>
                    </w:rPr>
                  </w:pPr>
                  <w:r>
                    <w:rPr>
                      <w:rFonts w:hint="eastAsia"/>
                      <w:sz w:val="18"/>
                      <w:szCs w:val="18"/>
                    </w:rPr>
                    <w:t>7</w:t>
                  </w:r>
                </w:p>
              </w:tc>
              <w:tc>
                <w:tcPr>
                  <w:tcW w:w="1407" w:type="dxa"/>
                  <w:noWrap w:val="0"/>
                  <w:vAlign w:val="center"/>
                </w:tcPr>
                <w:p>
                  <w:pPr>
                    <w:jc w:val="center"/>
                    <w:rPr>
                      <w:sz w:val="18"/>
                      <w:szCs w:val="18"/>
                    </w:rPr>
                  </w:pPr>
                  <w:r>
                    <w:rPr>
                      <w:sz w:val="18"/>
                      <w:szCs w:val="18"/>
                    </w:rPr>
                    <w:t>TN</w:t>
                  </w:r>
                </w:p>
              </w:tc>
              <w:tc>
                <w:tcPr>
                  <w:tcW w:w="1860" w:type="dxa"/>
                  <w:noWrap w:val="0"/>
                  <w:vAlign w:val="center"/>
                </w:tcPr>
                <w:p>
                  <w:pPr>
                    <w:jc w:val="center"/>
                    <w:rPr>
                      <w:sz w:val="18"/>
                      <w:szCs w:val="18"/>
                    </w:rPr>
                  </w:pPr>
                  <w:r>
                    <w:rPr>
                      <w:rFonts w:hint="eastAsia"/>
                      <w:sz w:val="18"/>
                      <w:szCs w:val="18"/>
                    </w:rPr>
                    <w:t>30</w:t>
                  </w:r>
                </w:p>
              </w:tc>
              <w:tc>
                <w:tcPr>
                  <w:tcW w:w="1457" w:type="dxa"/>
                  <w:noWrap w:val="0"/>
                  <w:vAlign w:val="center"/>
                </w:tcPr>
                <w:p>
                  <w:pPr>
                    <w:jc w:val="center"/>
                    <w:rPr>
                      <w:rFonts w:hint="default" w:eastAsia="宋体"/>
                      <w:sz w:val="18"/>
                      <w:szCs w:val="18"/>
                      <w:lang w:val="en-US" w:eastAsia="zh-CN"/>
                    </w:rPr>
                  </w:pPr>
                  <w:r>
                    <w:rPr>
                      <w:rFonts w:hint="eastAsia"/>
                      <w:sz w:val="18"/>
                      <w:szCs w:val="18"/>
                      <w:lang w:val="en-US" w:eastAsia="zh-CN"/>
                    </w:rPr>
                    <w:t>70</w:t>
                  </w:r>
                </w:p>
              </w:tc>
              <w:tc>
                <w:tcPr>
                  <w:tcW w:w="1905" w:type="dxa"/>
                  <w:noWrap w:val="0"/>
                  <w:vAlign w:val="center"/>
                </w:tcPr>
                <w:p>
                  <w:pPr>
                    <w:jc w:val="center"/>
                    <w:rPr>
                      <w:sz w:val="18"/>
                      <w:szCs w:val="18"/>
                    </w:rPr>
                  </w:pPr>
                  <w:r>
                    <w:rPr>
                      <w:sz w:val="18"/>
                      <w:szCs w:val="18"/>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70" w:type="dxa"/>
                  <w:noWrap w:val="0"/>
                  <w:vAlign w:val="center"/>
                </w:tcPr>
                <w:p>
                  <w:pPr>
                    <w:jc w:val="center"/>
                    <w:rPr>
                      <w:rFonts w:hint="eastAsia"/>
                      <w:sz w:val="18"/>
                      <w:szCs w:val="18"/>
                    </w:rPr>
                  </w:pPr>
                  <w:r>
                    <w:rPr>
                      <w:rFonts w:hint="eastAsia"/>
                      <w:sz w:val="18"/>
                      <w:szCs w:val="18"/>
                    </w:rPr>
                    <w:t>8</w:t>
                  </w:r>
                </w:p>
              </w:tc>
              <w:tc>
                <w:tcPr>
                  <w:tcW w:w="1407" w:type="dxa"/>
                  <w:noWrap w:val="0"/>
                  <w:vAlign w:val="center"/>
                </w:tcPr>
                <w:p>
                  <w:pPr>
                    <w:jc w:val="center"/>
                    <w:rPr>
                      <w:sz w:val="18"/>
                      <w:szCs w:val="18"/>
                    </w:rPr>
                  </w:pPr>
                  <w:r>
                    <w:rPr>
                      <w:rFonts w:hint="eastAsia"/>
                      <w:sz w:val="18"/>
                      <w:szCs w:val="18"/>
                    </w:rPr>
                    <w:t>LAS</w:t>
                  </w:r>
                </w:p>
              </w:tc>
              <w:tc>
                <w:tcPr>
                  <w:tcW w:w="1860" w:type="dxa"/>
                  <w:noWrap w:val="0"/>
                  <w:vAlign w:val="center"/>
                </w:tcPr>
                <w:p>
                  <w:pPr>
                    <w:jc w:val="center"/>
                    <w:rPr>
                      <w:sz w:val="18"/>
                      <w:szCs w:val="18"/>
                    </w:rPr>
                  </w:pPr>
                  <w:r>
                    <w:rPr>
                      <w:rFonts w:hint="eastAsia"/>
                      <w:sz w:val="18"/>
                      <w:szCs w:val="18"/>
                    </w:rPr>
                    <w:t>20</w:t>
                  </w:r>
                </w:p>
              </w:tc>
              <w:tc>
                <w:tcPr>
                  <w:tcW w:w="1457" w:type="dxa"/>
                  <w:noWrap w:val="0"/>
                  <w:vAlign w:val="center"/>
                </w:tcPr>
                <w:p>
                  <w:pPr>
                    <w:jc w:val="center"/>
                    <w:rPr>
                      <w:rFonts w:hint="default" w:eastAsia="宋体"/>
                      <w:sz w:val="18"/>
                      <w:szCs w:val="18"/>
                      <w:lang w:val="en-US" w:eastAsia="zh-CN"/>
                    </w:rPr>
                  </w:pPr>
                  <w:r>
                    <w:rPr>
                      <w:rFonts w:hint="eastAsia"/>
                      <w:sz w:val="18"/>
                      <w:szCs w:val="18"/>
                      <w:lang w:val="en-US" w:eastAsia="zh-CN"/>
                    </w:rPr>
                    <w:t>20</w:t>
                  </w:r>
                </w:p>
              </w:tc>
              <w:tc>
                <w:tcPr>
                  <w:tcW w:w="1905" w:type="dxa"/>
                  <w:noWrap w:val="0"/>
                  <w:vAlign w:val="center"/>
                </w:tcPr>
                <w:p>
                  <w:pPr>
                    <w:jc w:val="center"/>
                    <w:rPr>
                      <w:sz w:val="18"/>
                      <w:szCs w:val="18"/>
                    </w:rPr>
                  </w:pPr>
                  <w:r>
                    <w:rPr>
                      <w:sz w:val="18"/>
                      <w:szCs w:val="18"/>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70" w:type="dxa"/>
                  <w:noWrap w:val="0"/>
                  <w:vAlign w:val="center"/>
                </w:tcPr>
                <w:p>
                  <w:pPr>
                    <w:jc w:val="center"/>
                    <w:rPr>
                      <w:rFonts w:hint="eastAsia"/>
                      <w:sz w:val="18"/>
                      <w:szCs w:val="18"/>
                    </w:rPr>
                  </w:pPr>
                  <w:r>
                    <w:rPr>
                      <w:rFonts w:hint="eastAsia"/>
                      <w:sz w:val="18"/>
                      <w:szCs w:val="18"/>
                    </w:rPr>
                    <w:t>9</w:t>
                  </w:r>
                </w:p>
              </w:tc>
              <w:tc>
                <w:tcPr>
                  <w:tcW w:w="1407" w:type="dxa"/>
                  <w:noWrap w:val="0"/>
                  <w:vAlign w:val="center"/>
                </w:tcPr>
                <w:p>
                  <w:pPr>
                    <w:jc w:val="center"/>
                    <w:rPr>
                      <w:rFonts w:hint="eastAsia"/>
                      <w:sz w:val="18"/>
                      <w:szCs w:val="18"/>
                    </w:rPr>
                  </w:pPr>
                  <w:r>
                    <w:rPr>
                      <w:rFonts w:hint="eastAsia"/>
                      <w:sz w:val="18"/>
                      <w:szCs w:val="18"/>
                    </w:rPr>
                    <w:t>色度（倍））</w:t>
                  </w:r>
                </w:p>
              </w:tc>
              <w:tc>
                <w:tcPr>
                  <w:tcW w:w="1860" w:type="dxa"/>
                  <w:noWrap w:val="0"/>
                  <w:vAlign w:val="center"/>
                </w:tcPr>
                <w:p>
                  <w:pPr>
                    <w:jc w:val="center"/>
                    <w:rPr>
                      <w:sz w:val="18"/>
                      <w:szCs w:val="18"/>
                    </w:rPr>
                  </w:pPr>
                  <w:r>
                    <w:rPr>
                      <w:rFonts w:hint="eastAsia"/>
                      <w:sz w:val="18"/>
                      <w:szCs w:val="18"/>
                    </w:rPr>
                    <w:t>80</w:t>
                  </w:r>
                </w:p>
              </w:tc>
              <w:tc>
                <w:tcPr>
                  <w:tcW w:w="1457" w:type="dxa"/>
                  <w:noWrap w:val="0"/>
                  <w:vAlign w:val="center"/>
                </w:tcPr>
                <w:p>
                  <w:pPr>
                    <w:jc w:val="center"/>
                    <w:rPr>
                      <w:rFonts w:hint="default" w:eastAsia="宋体"/>
                      <w:sz w:val="18"/>
                      <w:szCs w:val="18"/>
                      <w:lang w:val="en-US" w:eastAsia="zh-CN"/>
                    </w:rPr>
                  </w:pPr>
                  <w:r>
                    <w:rPr>
                      <w:rFonts w:hint="eastAsia"/>
                      <w:sz w:val="18"/>
                      <w:szCs w:val="18"/>
                      <w:lang w:val="en-US" w:eastAsia="zh-CN"/>
                    </w:rPr>
                    <w:t>64</w:t>
                  </w:r>
                </w:p>
              </w:tc>
              <w:tc>
                <w:tcPr>
                  <w:tcW w:w="1905" w:type="dxa"/>
                  <w:noWrap w:val="0"/>
                  <w:vAlign w:val="center"/>
                </w:tcPr>
                <w:p>
                  <w:pPr>
                    <w:jc w:val="center"/>
                    <w:rPr>
                      <w:sz w:val="18"/>
                      <w:szCs w:val="18"/>
                    </w:rPr>
                  </w:pPr>
                  <w:r>
                    <w:rPr>
                      <w:sz w:val="18"/>
                      <w:szCs w:val="18"/>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70" w:type="dxa"/>
                  <w:noWrap w:val="0"/>
                  <w:vAlign w:val="center"/>
                </w:tcPr>
                <w:p>
                  <w:pPr>
                    <w:jc w:val="center"/>
                    <w:rPr>
                      <w:rFonts w:hint="eastAsia"/>
                      <w:sz w:val="18"/>
                      <w:szCs w:val="18"/>
                    </w:rPr>
                  </w:pPr>
                  <w:r>
                    <w:rPr>
                      <w:rFonts w:hint="eastAsia"/>
                      <w:sz w:val="18"/>
                      <w:szCs w:val="18"/>
                    </w:rPr>
                    <w:t>单位产品基准排水量（m</w:t>
                  </w:r>
                  <w:r>
                    <w:rPr>
                      <w:rFonts w:hint="eastAsia"/>
                      <w:sz w:val="18"/>
                      <w:szCs w:val="18"/>
                      <w:vertAlign w:val="superscript"/>
                    </w:rPr>
                    <w:t>3</w:t>
                  </w:r>
                  <w:r>
                    <w:rPr>
                      <w:rFonts w:hint="eastAsia"/>
                      <w:sz w:val="18"/>
                      <w:szCs w:val="18"/>
                    </w:rPr>
                    <w:t>/t标准品）</w:t>
                  </w:r>
                </w:p>
              </w:tc>
              <w:tc>
                <w:tcPr>
                  <w:tcW w:w="1407" w:type="dxa"/>
                  <w:noWrap w:val="0"/>
                  <w:vAlign w:val="center"/>
                </w:tcPr>
                <w:p>
                  <w:pPr>
                    <w:jc w:val="center"/>
                    <w:rPr>
                      <w:rFonts w:hint="eastAsia"/>
                      <w:sz w:val="18"/>
                      <w:szCs w:val="18"/>
                    </w:rPr>
                  </w:pPr>
                  <w:r>
                    <w:rPr>
                      <w:rFonts w:hint="eastAsia"/>
                      <w:sz w:val="18"/>
                      <w:szCs w:val="18"/>
                    </w:rPr>
                    <w:t>纱线、针织物</w:t>
                  </w:r>
                </w:p>
              </w:tc>
              <w:tc>
                <w:tcPr>
                  <w:tcW w:w="1860" w:type="dxa"/>
                  <w:noWrap w:val="0"/>
                  <w:vAlign w:val="center"/>
                </w:tcPr>
                <w:p>
                  <w:pPr>
                    <w:jc w:val="center"/>
                    <w:rPr>
                      <w:sz w:val="18"/>
                      <w:szCs w:val="18"/>
                    </w:rPr>
                  </w:pPr>
                  <w:r>
                    <w:rPr>
                      <w:rFonts w:hint="eastAsia"/>
                      <w:sz w:val="18"/>
                      <w:szCs w:val="18"/>
                    </w:rPr>
                    <w:t>85</w:t>
                  </w:r>
                </w:p>
              </w:tc>
              <w:tc>
                <w:tcPr>
                  <w:tcW w:w="1457" w:type="dxa"/>
                  <w:noWrap w:val="0"/>
                  <w:vAlign w:val="center"/>
                </w:tcPr>
                <w:p>
                  <w:pPr>
                    <w:jc w:val="center"/>
                    <w:rPr>
                      <w:sz w:val="18"/>
                      <w:szCs w:val="18"/>
                    </w:rPr>
                  </w:pPr>
                  <w:r>
                    <w:rPr>
                      <w:rFonts w:hint="eastAsia"/>
                      <w:sz w:val="18"/>
                      <w:szCs w:val="18"/>
                    </w:rPr>
                    <w:t>/</w:t>
                  </w:r>
                </w:p>
              </w:tc>
              <w:tc>
                <w:tcPr>
                  <w:tcW w:w="1905" w:type="dxa"/>
                  <w:noWrap w:val="0"/>
                  <w:vAlign w:val="center"/>
                </w:tcPr>
                <w:p>
                  <w:pPr>
                    <w:jc w:val="center"/>
                    <w:rPr>
                      <w:rFonts w:hint="default" w:eastAsia="宋体"/>
                      <w:sz w:val="18"/>
                      <w:szCs w:val="18"/>
                      <w:lang w:val="en-US" w:eastAsia="zh-CN"/>
                    </w:rPr>
                  </w:pPr>
                  <w:r>
                    <w:rPr>
                      <w:rFonts w:hint="eastAsia"/>
                      <w:sz w:val="18"/>
                      <w:szCs w:val="18"/>
                      <w:lang w:val="en-US" w:eastAsia="zh-CN"/>
                    </w:rPr>
                    <w:t>/</w:t>
                  </w:r>
                </w:p>
              </w:tc>
            </w:tr>
          </w:tbl>
          <w:p>
            <w:pPr>
              <w:numPr>
                <w:ilvl w:val="0"/>
                <w:numId w:val="0"/>
              </w:numPr>
              <w:adjustRightInd w:val="0"/>
              <w:snapToGrid w:val="0"/>
              <w:spacing w:line="500" w:lineRule="exact"/>
              <w:ind w:left="210" w:leftChars="0" w:firstLine="180" w:firstLineChars="100"/>
              <w:rPr>
                <w:rFonts w:hint="eastAsia"/>
                <w:b/>
                <w:bCs/>
                <w:kern w:val="0"/>
                <w:szCs w:val="21"/>
                <w:lang w:val="en-US" w:eastAsia="zh-CN"/>
              </w:rPr>
            </w:pPr>
            <w:r>
              <w:rPr>
                <w:sz w:val="18"/>
                <w:szCs w:val="20"/>
              </w:rPr>
              <w:t>注：括号外数值为水温&gt;12</w:t>
            </w:r>
            <w:r>
              <w:rPr>
                <w:rFonts w:hint="eastAsia" w:ascii="宋体" w:hAnsi="宋体" w:cs="宋体"/>
                <w:sz w:val="18"/>
                <w:szCs w:val="20"/>
              </w:rPr>
              <w:t>℃</w:t>
            </w:r>
            <w:r>
              <w:rPr>
                <w:sz w:val="18"/>
                <w:szCs w:val="20"/>
              </w:rPr>
              <w:t>时的控制指标，括号内数值为水温≤12</w:t>
            </w:r>
            <w:r>
              <w:rPr>
                <w:rFonts w:hint="eastAsia" w:ascii="宋体" w:hAnsi="宋体" w:cs="宋体"/>
                <w:sz w:val="18"/>
                <w:szCs w:val="20"/>
              </w:rPr>
              <w:t>℃</w:t>
            </w:r>
            <w:r>
              <w:rPr>
                <w:sz w:val="18"/>
                <w:szCs w:val="20"/>
              </w:rPr>
              <w:t>时的控制指标。</w:t>
            </w:r>
          </w:p>
          <w:p>
            <w:pPr>
              <w:numPr>
                <w:ilvl w:val="0"/>
                <w:numId w:val="0"/>
              </w:numPr>
              <w:adjustRightInd w:val="0"/>
              <w:snapToGrid w:val="0"/>
              <w:spacing w:line="500" w:lineRule="exact"/>
              <w:ind w:left="210" w:leftChars="0" w:firstLine="211" w:firstLineChars="100"/>
              <w:rPr>
                <w:rFonts w:hint="eastAsia"/>
                <w:b/>
                <w:bCs/>
                <w:kern w:val="0"/>
                <w:szCs w:val="21"/>
                <w:lang w:val="en-US" w:eastAsia="zh-CN"/>
              </w:rPr>
            </w:pPr>
            <w:r>
              <w:rPr>
                <w:rFonts w:hint="eastAsia"/>
                <w:b/>
                <w:bCs/>
                <w:kern w:val="0"/>
                <w:szCs w:val="21"/>
                <w:lang w:val="en-US" w:eastAsia="zh-CN"/>
              </w:rPr>
              <w:t>3、噪声污染物排放标准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20" w:firstLineChars="200"/>
              <w:textAlignment w:val="auto"/>
              <w:rPr>
                <w:b/>
              </w:rPr>
            </w:pPr>
            <w:r>
              <w:rPr>
                <w:rFonts w:hint="eastAsia"/>
                <w:kern w:val="0"/>
                <w:szCs w:val="21"/>
              </w:rPr>
              <w:t>项目运营期</w:t>
            </w:r>
            <w:r>
              <w:rPr>
                <w:rFonts w:hint="eastAsia"/>
                <w:kern w:val="0"/>
                <w:szCs w:val="21"/>
                <w:lang w:eastAsia="zh-CN"/>
              </w:rPr>
              <w:t>北侧</w:t>
            </w:r>
            <w:r>
              <w:rPr>
                <w:rFonts w:hint="eastAsia"/>
                <w:kern w:val="0"/>
                <w:szCs w:val="21"/>
              </w:rPr>
              <w:t>厂界噪声排放标准执行《工业企业厂界环境噪声排放标准》（GB12348-2008）</w:t>
            </w:r>
            <w:r>
              <w:rPr>
                <w:rFonts w:hint="eastAsia"/>
                <w:kern w:val="0"/>
                <w:szCs w:val="21"/>
                <w:lang w:val="en-US" w:eastAsia="zh-CN"/>
              </w:rPr>
              <w:t>4</w:t>
            </w:r>
            <w:r>
              <w:rPr>
                <w:rFonts w:hint="eastAsia"/>
                <w:kern w:val="0"/>
                <w:szCs w:val="21"/>
              </w:rPr>
              <w:t>类标准；</w:t>
            </w:r>
            <w:r>
              <w:rPr>
                <w:rFonts w:hint="eastAsia"/>
                <w:kern w:val="0"/>
                <w:szCs w:val="21"/>
                <w:lang w:eastAsia="zh-CN"/>
              </w:rPr>
              <w:t>其余厂界执行</w:t>
            </w:r>
            <w:r>
              <w:rPr>
                <w:rFonts w:hint="eastAsia"/>
                <w:kern w:val="0"/>
                <w:szCs w:val="21"/>
                <w:lang w:val="en-US" w:eastAsia="zh-CN"/>
              </w:rPr>
              <w:t>3类标准，</w:t>
            </w:r>
            <w:r>
              <w:rPr>
                <w:rFonts w:hint="eastAsia"/>
                <w:kern w:val="0"/>
                <w:szCs w:val="21"/>
              </w:rPr>
              <w:t>具体标准限值见表3-</w:t>
            </w:r>
            <w:r>
              <w:rPr>
                <w:rFonts w:hint="eastAsia"/>
                <w:kern w:val="0"/>
                <w:szCs w:val="21"/>
                <w:lang w:val="en-US" w:eastAsia="zh-CN"/>
              </w:rPr>
              <w:t>5</w:t>
            </w:r>
            <w:r>
              <w:rPr>
                <w:rFonts w:hint="eastAsia"/>
                <w:kern w:val="0"/>
                <w:szCs w:val="21"/>
              </w:rPr>
              <w:t>。</w:t>
            </w:r>
          </w:p>
          <w:p>
            <w:pPr>
              <w:spacing w:line="500" w:lineRule="exact"/>
              <w:ind w:firstLine="422" w:firstLineChars="200"/>
              <w:jc w:val="center"/>
              <w:rPr>
                <w:b/>
              </w:rPr>
            </w:pPr>
            <w:r>
              <w:rPr>
                <w:rFonts w:hint="eastAsia"/>
                <w:b/>
                <w:lang w:val="en-US" w:eastAsia="zh-CN"/>
              </w:rPr>
              <w:t xml:space="preserve"> </w:t>
            </w:r>
            <w:r>
              <w:rPr>
                <w:b/>
              </w:rPr>
              <w:t>表</w:t>
            </w:r>
            <w:r>
              <w:rPr>
                <w:rFonts w:hint="eastAsia"/>
                <w:b/>
              </w:rPr>
              <w:t>3-</w:t>
            </w:r>
            <w:r>
              <w:rPr>
                <w:rFonts w:hint="eastAsia"/>
                <w:b/>
                <w:lang w:val="en-US" w:eastAsia="zh-CN"/>
              </w:rPr>
              <w:t xml:space="preserve">5 </w:t>
            </w:r>
            <w:r>
              <w:rPr>
                <w:b/>
              </w:rPr>
              <w:t xml:space="preserve">运营期噪声执行标准限值       </w:t>
            </w:r>
            <w:r>
              <w:t>单位：dB（A）</w:t>
            </w:r>
          </w:p>
          <w:tbl>
            <w:tblPr>
              <w:tblStyle w:val="11"/>
              <w:tblW w:w="801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1"/>
              <w:gridCol w:w="1525"/>
              <w:gridCol w:w="1462"/>
              <w:gridCol w:w="19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31" w:type="dxa"/>
                  <w:noWrap w:val="0"/>
                  <w:vAlign w:val="center"/>
                </w:tcPr>
                <w:p>
                  <w:pPr>
                    <w:jc w:val="center"/>
                    <w:rPr>
                      <w:rFonts w:hint="eastAsia" w:eastAsia="宋体"/>
                      <w:sz w:val="18"/>
                      <w:szCs w:val="18"/>
                      <w:lang w:val="en-US" w:eastAsia="zh-CN"/>
                    </w:rPr>
                  </w:pPr>
                  <w:r>
                    <w:rPr>
                      <w:rFonts w:hint="eastAsia"/>
                      <w:sz w:val="18"/>
                      <w:szCs w:val="18"/>
                      <w:lang w:val="en-US" w:eastAsia="zh-CN"/>
                    </w:rPr>
                    <w:t>/</w:t>
                  </w:r>
                </w:p>
              </w:tc>
              <w:tc>
                <w:tcPr>
                  <w:tcW w:w="1531" w:type="dxa"/>
                  <w:noWrap w:val="0"/>
                  <w:vAlign w:val="center"/>
                </w:tcPr>
                <w:p>
                  <w:pPr>
                    <w:jc w:val="center"/>
                    <w:rPr>
                      <w:sz w:val="18"/>
                      <w:szCs w:val="18"/>
                    </w:rPr>
                  </w:pPr>
                  <w:r>
                    <w:rPr>
                      <w:sz w:val="18"/>
                      <w:szCs w:val="18"/>
                    </w:rPr>
                    <w:t>类别</w:t>
                  </w:r>
                </w:p>
              </w:tc>
              <w:tc>
                <w:tcPr>
                  <w:tcW w:w="1525" w:type="dxa"/>
                  <w:noWrap w:val="0"/>
                  <w:vAlign w:val="center"/>
                </w:tcPr>
                <w:p>
                  <w:pPr>
                    <w:jc w:val="center"/>
                    <w:rPr>
                      <w:sz w:val="18"/>
                      <w:szCs w:val="18"/>
                    </w:rPr>
                  </w:pPr>
                  <w:r>
                    <w:rPr>
                      <w:sz w:val="18"/>
                      <w:szCs w:val="18"/>
                    </w:rPr>
                    <w:t>昼间</w:t>
                  </w:r>
                </w:p>
              </w:tc>
              <w:tc>
                <w:tcPr>
                  <w:tcW w:w="1462" w:type="dxa"/>
                  <w:noWrap w:val="0"/>
                  <w:vAlign w:val="center"/>
                </w:tcPr>
                <w:p>
                  <w:pPr>
                    <w:jc w:val="center"/>
                    <w:rPr>
                      <w:sz w:val="18"/>
                      <w:szCs w:val="18"/>
                    </w:rPr>
                  </w:pPr>
                  <w:r>
                    <w:rPr>
                      <w:sz w:val="18"/>
                      <w:szCs w:val="18"/>
                    </w:rPr>
                    <w:t>夜间</w:t>
                  </w:r>
                </w:p>
              </w:tc>
              <w:tc>
                <w:tcPr>
                  <w:tcW w:w="1961" w:type="dxa"/>
                  <w:noWrap w:val="0"/>
                  <w:vAlign w:val="center"/>
                </w:tcPr>
                <w:p>
                  <w:pPr>
                    <w:jc w:val="center"/>
                    <w:rPr>
                      <w:sz w:val="18"/>
                      <w:szCs w:val="18"/>
                    </w:rPr>
                  </w:pPr>
                  <w:r>
                    <w:rPr>
                      <w:sz w:val="18"/>
                      <w:szCs w:val="18"/>
                    </w:rPr>
                    <w:t>执行区域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31" w:type="dxa"/>
                  <w:vMerge w:val="restart"/>
                  <w:noWrap w:val="0"/>
                  <w:vAlign w:val="center"/>
                </w:tcPr>
                <w:p>
                  <w:pPr>
                    <w:jc w:val="center"/>
                    <w:rPr>
                      <w:rFonts w:hint="eastAsia"/>
                      <w:sz w:val="18"/>
                      <w:szCs w:val="18"/>
                    </w:rPr>
                  </w:pPr>
                  <w:r>
                    <w:rPr>
                      <w:rFonts w:hint="eastAsia"/>
                      <w:sz w:val="18"/>
                      <w:szCs w:val="18"/>
                    </w:rPr>
                    <w:t>运营期</w:t>
                  </w:r>
                </w:p>
              </w:tc>
              <w:tc>
                <w:tcPr>
                  <w:tcW w:w="1531" w:type="dxa"/>
                  <w:noWrap w:val="0"/>
                  <w:vAlign w:val="center"/>
                </w:tcPr>
                <w:p>
                  <w:pPr>
                    <w:jc w:val="center"/>
                    <w:rPr>
                      <w:rFonts w:hint="eastAsia"/>
                      <w:sz w:val="18"/>
                      <w:szCs w:val="18"/>
                    </w:rPr>
                  </w:pPr>
                  <w:r>
                    <w:rPr>
                      <w:rFonts w:hint="eastAsia"/>
                      <w:sz w:val="18"/>
                      <w:szCs w:val="18"/>
                      <w:lang w:val="en-US" w:eastAsia="zh-CN"/>
                    </w:rPr>
                    <w:t>3</w:t>
                  </w:r>
                  <w:r>
                    <w:rPr>
                      <w:sz w:val="18"/>
                      <w:szCs w:val="18"/>
                    </w:rPr>
                    <w:t>类</w:t>
                  </w:r>
                </w:p>
              </w:tc>
              <w:tc>
                <w:tcPr>
                  <w:tcW w:w="1525" w:type="dxa"/>
                  <w:noWrap w:val="0"/>
                  <w:vAlign w:val="center"/>
                </w:tcPr>
                <w:p>
                  <w:pPr>
                    <w:jc w:val="center"/>
                    <w:rPr>
                      <w:rFonts w:hint="default" w:eastAsia="宋体"/>
                      <w:sz w:val="18"/>
                      <w:szCs w:val="18"/>
                      <w:lang w:val="en-US" w:eastAsia="zh-CN"/>
                    </w:rPr>
                  </w:pPr>
                  <w:r>
                    <w:rPr>
                      <w:rFonts w:hint="eastAsia"/>
                      <w:sz w:val="18"/>
                      <w:szCs w:val="18"/>
                      <w:lang w:val="en-US" w:eastAsia="zh-CN"/>
                    </w:rPr>
                    <w:t>65</w:t>
                  </w:r>
                </w:p>
              </w:tc>
              <w:tc>
                <w:tcPr>
                  <w:tcW w:w="1462" w:type="dxa"/>
                  <w:noWrap w:val="0"/>
                  <w:vAlign w:val="center"/>
                </w:tcPr>
                <w:p>
                  <w:pPr>
                    <w:jc w:val="center"/>
                    <w:rPr>
                      <w:rFonts w:hint="default" w:eastAsia="宋体"/>
                      <w:sz w:val="18"/>
                      <w:szCs w:val="18"/>
                      <w:lang w:val="en-US" w:eastAsia="zh-CN"/>
                    </w:rPr>
                  </w:pPr>
                  <w:r>
                    <w:rPr>
                      <w:rFonts w:hint="eastAsia"/>
                      <w:sz w:val="18"/>
                      <w:szCs w:val="18"/>
                      <w:lang w:val="en-US" w:eastAsia="zh-CN"/>
                    </w:rPr>
                    <w:t>55</w:t>
                  </w:r>
                </w:p>
              </w:tc>
              <w:tc>
                <w:tcPr>
                  <w:tcW w:w="1961" w:type="dxa"/>
                  <w:noWrap w:val="0"/>
                  <w:vAlign w:val="center"/>
                </w:tcPr>
                <w:p>
                  <w:pPr>
                    <w:jc w:val="center"/>
                    <w:rPr>
                      <w:rFonts w:hint="eastAsia" w:eastAsia="宋体"/>
                      <w:sz w:val="18"/>
                      <w:szCs w:val="18"/>
                      <w:lang w:eastAsia="zh-CN"/>
                    </w:rPr>
                  </w:pPr>
                  <w:r>
                    <w:rPr>
                      <w:rFonts w:hint="eastAsia"/>
                      <w:sz w:val="18"/>
                      <w:szCs w:val="18"/>
                      <w:lang w:eastAsia="zh-CN"/>
                    </w:rPr>
                    <w:t>东、南、西侧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31" w:type="dxa"/>
                  <w:vMerge w:val="continue"/>
                  <w:noWrap w:val="0"/>
                  <w:vAlign w:val="center"/>
                </w:tcPr>
                <w:p>
                  <w:pPr>
                    <w:jc w:val="center"/>
                    <w:rPr>
                      <w:rFonts w:hint="eastAsia"/>
                      <w:sz w:val="18"/>
                      <w:szCs w:val="18"/>
                    </w:rPr>
                  </w:pPr>
                </w:p>
              </w:tc>
              <w:tc>
                <w:tcPr>
                  <w:tcW w:w="1531" w:type="dxa"/>
                  <w:noWrap w:val="0"/>
                  <w:vAlign w:val="center"/>
                </w:tcPr>
                <w:p>
                  <w:pPr>
                    <w:jc w:val="center"/>
                    <w:rPr>
                      <w:rFonts w:hint="default"/>
                      <w:sz w:val="18"/>
                      <w:szCs w:val="18"/>
                      <w:lang w:val="en-US" w:eastAsia="zh-CN"/>
                    </w:rPr>
                  </w:pPr>
                  <w:r>
                    <w:rPr>
                      <w:rFonts w:hint="eastAsia"/>
                      <w:sz w:val="18"/>
                      <w:szCs w:val="18"/>
                      <w:lang w:val="en-US" w:eastAsia="zh-CN"/>
                    </w:rPr>
                    <w:t>4类</w:t>
                  </w:r>
                </w:p>
              </w:tc>
              <w:tc>
                <w:tcPr>
                  <w:tcW w:w="1525" w:type="dxa"/>
                  <w:noWrap w:val="0"/>
                  <w:vAlign w:val="center"/>
                </w:tcPr>
                <w:p>
                  <w:pPr>
                    <w:jc w:val="center"/>
                    <w:rPr>
                      <w:rFonts w:hint="default"/>
                      <w:sz w:val="18"/>
                      <w:szCs w:val="18"/>
                      <w:lang w:val="en-US" w:eastAsia="zh-CN"/>
                    </w:rPr>
                  </w:pPr>
                  <w:r>
                    <w:rPr>
                      <w:rFonts w:hint="eastAsia"/>
                      <w:sz w:val="18"/>
                      <w:szCs w:val="18"/>
                      <w:lang w:val="en-US" w:eastAsia="zh-CN"/>
                    </w:rPr>
                    <w:t>70</w:t>
                  </w:r>
                </w:p>
              </w:tc>
              <w:tc>
                <w:tcPr>
                  <w:tcW w:w="1462" w:type="dxa"/>
                  <w:noWrap w:val="0"/>
                  <w:vAlign w:val="center"/>
                </w:tcPr>
                <w:p>
                  <w:pPr>
                    <w:jc w:val="center"/>
                    <w:rPr>
                      <w:rFonts w:hint="default"/>
                      <w:sz w:val="18"/>
                      <w:szCs w:val="18"/>
                      <w:lang w:val="en-US" w:eastAsia="zh-CN"/>
                    </w:rPr>
                  </w:pPr>
                  <w:r>
                    <w:rPr>
                      <w:rFonts w:hint="eastAsia"/>
                      <w:sz w:val="18"/>
                      <w:szCs w:val="18"/>
                      <w:lang w:val="en-US" w:eastAsia="zh-CN"/>
                    </w:rPr>
                    <w:t>55</w:t>
                  </w:r>
                </w:p>
              </w:tc>
              <w:tc>
                <w:tcPr>
                  <w:tcW w:w="1961" w:type="dxa"/>
                  <w:noWrap w:val="0"/>
                  <w:vAlign w:val="center"/>
                </w:tcPr>
                <w:p>
                  <w:pPr>
                    <w:jc w:val="center"/>
                    <w:rPr>
                      <w:rFonts w:hint="eastAsia"/>
                      <w:sz w:val="18"/>
                      <w:szCs w:val="18"/>
                      <w:lang w:eastAsia="zh-CN"/>
                    </w:rPr>
                  </w:pPr>
                  <w:r>
                    <w:rPr>
                      <w:rFonts w:hint="eastAsia"/>
                      <w:sz w:val="18"/>
                      <w:szCs w:val="18"/>
                      <w:lang w:eastAsia="zh-CN"/>
                    </w:rPr>
                    <w:t>北侧</w:t>
                  </w:r>
                </w:p>
              </w:tc>
            </w:tr>
          </w:tbl>
          <w:p>
            <w:pPr>
              <w:adjustRightInd w:val="0"/>
              <w:snapToGrid w:val="0"/>
              <w:spacing w:line="500" w:lineRule="exact"/>
              <w:ind w:firstLine="422" w:firstLineChars="200"/>
              <w:rPr>
                <w:rFonts w:hint="eastAsia"/>
                <w:b/>
                <w:bCs/>
                <w:kern w:val="0"/>
                <w:szCs w:val="21"/>
              </w:rPr>
            </w:pPr>
            <w:r>
              <w:rPr>
                <w:rFonts w:hint="eastAsia"/>
                <w:b/>
                <w:bCs/>
                <w:kern w:val="0"/>
                <w:szCs w:val="21"/>
              </w:rPr>
              <w:t>4、固废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kern w:val="0"/>
                <w:szCs w:val="21"/>
              </w:rPr>
            </w:pPr>
            <w:r>
              <w:rPr>
                <w:rFonts w:hint="eastAsia"/>
                <w:kern w:val="0"/>
                <w:szCs w:val="21"/>
              </w:rPr>
              <w:t>本项目生活垃圾处理执行《城市生活垃圾处理及污染防治技术政策》（建城〔2000〕120 号）和《生活垃圾处理技术指南》（建城〔2010〕61号）以及国家、省市关于固体废物污染环境防治的法律法规。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kern w:val="0"/>
                <w:szCs w:val="21"/>
              </w:rPr>
            </w:pPr>
            <w:r>
              <w:rPr>
                <w:rFonts w:hint="eastAsia"/>
                <w:kern w:val="0"/>
                <w:szCs w:val="21"/>
              </w:rPr>
              <w:t>全厂固体废物的管理按照《&lt;江苏省固体废物全过程环境监管工作意见》（苏环办[2024]16号）相关要求执行。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kern w:val="0"/>
                <w:szCs w:val="21"/>
              </w:rPr>
            </w:pPr>
            <w:r>
              <w:rPr>
                <w:rFonts w:hint="eastAsia"/>
                <w:kern w:val="0"/>
                <w:szCs w:val="21"/>
              </w:rPr>
              <w:t xml:space="preserve"> 一般工业固体废物贮存执行 《一般工业固体废物 贮存和填埋污染控制标准》（GB18599-2020）要求。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eastAsia="宋体"/>
                <w:color w:val="000000"/>
                <w:kern w:val="0"/>
                <w:szCs w:val="21"/>
                <w:lang w:eastAsia="zh-CN" w:bidi="ar"/>
              </w:rPr>
            </w:pPr>
            <w:r>
              <w:rPr>
                <w:rFonts w:hint="eastAsia"/>
                <w:kern w:val="0"/>
                <w:szCs w:val="21"/>
              </w:rPr>
              <w:t>危险废物贮存按照《危险废物贮存污染控制标准》（GB18597-2023）、《危险废物收集储存运输技术规范》（HJ2025-2012）相关规定要求以及《江苏省固体废物全过程环境监管工作意见》（苏环办〔2024〕16号）、《关于印发江苏省危险废物贮存规范化管理专项整治行动方案的通知》（苏环办〔2019〕149号）要求进行危险废物的包装、贮存设施的选址、设计、运行、安全防护、监测和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bidi w:val="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总</w:t>
            </w:r>
          </w:p>
          <w:p>
            <w:pPr>
              <w:bidi w:val="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量</w:t>
            </w:r>
          </w:p>
          <w:p>
            <w:pPr>
              <w:bidi w:val="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控</w:t>
            </w:r>
          </w:p>
          <w:p>
            <w:pPr>
              <w:bidi w:val="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制</w:t>
            </w:r>
          </w:p>
          <w:p>
            <w:pPr>
              <w:bidi w:val="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指</w:t>
            </w:r>
          </w:p>
          <w:p>
            <w:pPr>
              <w:bidi w:val="0"/>
              <w:jc w:val="center"/>
              <w:rPr>
                <w:kern w:val="0"/>
                <w:szCs w:val="21"/>
              </w:rPr>
            </w:pPr>
            <w:r>
              <w:rPr>
                <w:rFonts w:hint="default" w:ascii="Times New Roman" w:hAnsi="Times New Roman" w:cs="Times New Roman"/>
                <w:sz w:val="21"/>
                <w:szCs w:val="21"/>
                <w:lang w:eastAsia="zh-CN"/>
              </w:rPr>
              <w:t>标</w:t>
            </w:r>
          </w:p>
        </w:tc>
        <w:tc>
          <w:tcPr>
            <w:tcW w:w="8326" w:type="dxa"/>
          </w:tcPr>
          <w:p>
            <w:pPr>
              <w:adjustRightInd w:val="0"/>
              <w:snapToGrid w:val="0"/>
              <w:spacing w:line="50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1、项目污染物排放情况</w:t>
            </w:r>
          </w:p>
          <w:p>
            <w:pPr>
              <w:adjustRightInd w:val="0"/>
              <w:snapToGrid w:val="0"/>
              <w:spacing w:line="50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项目完成后，项目新老污染物“三本帐”统计</w:t>
            </w:r>
            <w:r>
              <w:rPr>
                <w:rFonts w:hint="default" w:ascii="Times New Roman" w:hAnsi="Times New Roman" w:cs="Times New Roman"/>
                <w:color w:val="auto"/>
                <w:lang w:val="en-US" w:eastAsia="zh-CN"/>
              </w:rPr>
              <w:t>见</w:t>
            </w:r>
            <w:r>
              <w:rPr>
                <w:rFonts w:hint="default" w:ascii="Times New Roman" w:hAnsi="Times New Roman" w:cs="Times New Roman"/>
                <w:color w:val="auto"/>
              </w:rPr>
              <w:t>表3-</w:t>
            </w:r>
            <w:r>
              <w:rPr>
                <w:rFonts w:hint="eastAsia" w:cs="Times New Roman"/>
                <w:color w:val="auto"/>
                <w:lang w:val="en-US" w:eastAsia="zh-CN"/>
              </w:rPr>
              <w:t>6</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default" w:ascii="Times New Roman" w:hAnsi="Times New Roman" w:cs="Times New Roman"/>
                <w:b/>
                <w:bCs/>
                <w:color w:val="auto"/>
                <w:lang w:val="zh-CN"/>
              </w:rPr>
            </w:pPr>
            <w:r>
              <w:rPr>
                <w:rFonts w:hint="default" w:ascii="Times New Roman" w:hAnsi="Times New Roman" w:cs="Times New Roman"/>
                <w:b/>
                <w:bCs/>
                <w:color w:val="auto"/>
                <w:lang w:val="zh-CN"/>
              </w:rPr>
              <w:t>表3-</w:t>
            </w:r>
            <w:r>
              <w:rPr>
                <w:rFonts w:hint="eastAsia" w:cs="Times New Roman"/>
                <w:b/>
                <w:bCs/>
                <w:color w:val="auto"/>
                <w:lang w:val="en-US" w:eastAsia="zh-CN"/>
              </w:rPr>
              <w:t xml:space="preserve">6 </w:t>
            </w:r>
            <w:r>
              <w:rPr>
                <w:rFonts w:hint="default" w:ascii="Times New Roman" w:hAnsi="Times New Roman" w:cs="Times New Roman"/>
                <w:b/>
                <w:bCs/>
                <w:color w:val="auto"/>
                <w:lang w:val="zh-CN"/>
              </w:rPr>
              <w:t>项目新老污染物“三本帐”统计表（t/a）</w:t>
            </w:r>
          </w:p>
          <w:tbl>
            <w:tblPr>
              <w:tblStyle w:val="11"/>
              <w:tblW w:w="8190"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49"/>
              <w:gridCol w:w="373"/>
              <w:gridCol w:w="873"/>
              <w:gridCol w:w="835"/>
              <w:gridCol w:w="855"/>
              <w:gridCol w:w="765"/>
              <w:gridCol w:w="870"/>
              <w:gridCol w:w="874"/>
              <w:gridCol w:w="840"/>
              <w:gridCol w:w="791"/>
              <w:gridCol w:w="76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349" w:type="dxa"/>
                  <w:vMerge w:val="restart"/>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类别</w:t>
                  </w:r>
                </w:p>
              </w:tc>
              <w:tc>
                <w:tcPr>
                  <w:tcW w:w="1246" w:type="dxa"/>
                  <w:gridSpan w:val="2"/>
                  <w:vMerge w:val="restart"/>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zh-CN"/>
                    </w:rPr>
                    <w:t>污染物</w:t>
                  </w:r>
                </w:p>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名称</w:t>
                  </w:r>
                </w:p>
              </w:tc>
              <w:tc>
                <w:tcPr>
                  <w:tcW w:w="835" w:type="dxa"/>
                  <w:vMerge w:val="restart"/>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现有</w:t>
                  </w:r>
                  <w:r>
                    <w:rPr>
                      <w:rFonts w:hint="default" w:ascii="Times New Roman" w:hAnsi="Times New Roman" w:cs="Times New Roman"/>
                      <w:color w:val="auto"/>
                      <w:sz w:val="18"/>
                      <w:szCs w:val="18"/>
                      <w:lang w:val="en-US" w:eastAsia="zh-CN"/>
                    </w:rPr>
                    <w:t>项目排放量</w:t>
                  </w:r>
                </w:p>
              </w:tc>
              <w:tc>
                <w:tcPr>
                  <w:tcW w:w="2490" w:type="dxa"/>
                  <w:gridSpan w:val="3"/>
                  <w:noWrap w:val="0"/>
                  <w:vAlign w:val="center"/>
                </w:tcPr>
                <w:p>
                  <w:pPr>
                    <w:bidi w:val="0"/>
                    <w:jc w:val="center"/>
                    <w:rPr>
                      <w:rFonts w:hint="default" w:ascii="Times New Roman" w:hAnsi="Times New Roman" w:cs="Times New Roman"/>
                      <w:color w:val="auto"/>
                      <w:sz w:val="18"/>
                      <w:szCs w:val="18"/>
                    </w:rPr>
                  </w:pPr>
                  <w:r>
                    <w:rPr>
                      <w:rFonts w:hint="eastAsia" w:cs="Times New Roman"/>
                      <w:color w:val="auto"/>
                      <w:sz w:val="18"/>
                      <w:szCs w:val="18"/>
                      <w:lang w:val="en-US" w:eastAsia="zh-CN"/>
                    </w:rPr>
                    <w:t>技改</w:t>
                  </w:r>
                  <w:r>
                    <w:rPr>
                      <w:rFonts w:hint="default" w:ascii="Times New Roman" w:hAnsi="Times New Roman" w:cs="Times New Roman"/>
                      <w:color w:val="auto"/>
                      <w:sz w:val="18"/>
                      <w:szCs w:val="18"/>
                      <w:lang w:val="zh-CN"/>
                    </w:rPr>
                    <w:t>项目</w:t>
                  </w:r>
                </w:p>
              </w:tc>
              <w:tc>
                <w:tcPr>
                  <w:tcW w:w="2505" w:type="dxa"/>
                  <w:gridSpan w:val="3"/>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总体工程</w:t>
                  </w:r>
                </w:p>
              </w:tc>
              <w:tc>
                <w:tcPr>
                  <w:tcW w:w="765" w:type="dxa"/>
                  <w:vMerge w:val="restart"/>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zh-CN"/>
                    </w:rPr>
                    <w:t>最终排</w:t>
                  </w:r>
                </w:p>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放量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349" w:type="dxa"/>
                  <w:vMerge w:val="continue"/>
                  <w:noWrap w:val="0"/>
                  <w:vAlign w:val="center"/>
                </w:tcPr>
                <w:p>
                  <w:pPr>
                    <w:bidi w:val="0"/>
                    <w:jc w:val="center"/>
                    <w:rPr>
                      <w:rFonts w:hint="default" w:ascii="Times New Roman" w:hAnsi="Times New Roman" w:cs="Times New Roman"/>
                      <w:color w:val="auto"/>
                      <w:sz w:val="18"/>
                      <w:szCs w:val="18"/>
                    </w:rPr>
                  </w:pPr>
                </w:p>
              </w:tc>
              <w:tc>
                <w:tcPr>
                  <w:tcW w:w="1246" w:type="dxa"/>
                  <w:gridSpan w:val="2"/>
                  <w:vMerge w:val="continue"/>
                  <w:noWrap w:val="0"/>
                  <w:vAlign w:val="center"/>
                </w:tcPr>
                <w:p>
                  <w:pPr>
                    <w:bidi w:val="0"/>
                    <w:jc w:val="center"/>
                    <w:rPr>
                      <w:rFonts w:hint="default" w:ascii="Times New Roman" w:hAnsi="Times New Roman" w:cs="Times New Roman"/>
                      <w:color w:val="auto"/>
                      <w:sz w:val="18"/>
                      <w:szCs w:val="18"/>
                    </w:rPr>
                  </w:pPr>
                </w:p>
              </w:tc>
              <w:tc>
                <w:tcPr>
                  <w:tcW w:w="835" w:type="dxa"/>
                  <w:vMerge w:val="continue"/>
                  <w:noWrap w:val="0"/>
                  <w:vAlign w:val="center"/>
                </w:tcPr>
                <w:p>
                  <w:pPr>
                    <w:bidi w:val="0"/>
                    <w:jc w:val="center"/>
                    <w:rPr>
                      <w:rFonts w:hint="default" w:ascii="Times New Roman" w:hAnsi="Times New Roman" w:cs="Times New Roman"/>
                      <w:color w:val="auto"/>
                      <w:sz w:val="18"/>
                      <w:szCs w:val="18"/>
                    </w:rPr>
                  </w:pPr>
                </w:p>
              </w:tc>
              <w:tc>
                <w:tcPr>
                  <w:tcW w:w="855" w:type="dxa"/>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产生量</w:t>
                  </w:r>
                </w:p>
              </w:tc>
              <w:tc>
                <w:tcPr>
                  <w:tcW w:w="765" w:type="dxa"/>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削减量</w:t>
                  </w:r>
                </w:p>
              </w:tc>
              <w:tc>
                <w:tcPr>
                  <w:tcW w:w="870" w:type="dxa"/>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排放量</w:t>
                  </w:r>
                </w:p>
              </w:tc>
              <w:tc>
                <w:tcPr>
                  <w:tcW w:w="874" w:type="dxa"/>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以新带老削减量</w:t>
                  </w:r>
                </w:p>
              </w:tc>
              <w:tc>
                <w:tcPr>
                  <w:tcW w:w="840"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zh-CN"/>
                    </w:rPr>
                    <w:t>排放增</w:t>
                  </w:r>
                </w:p>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减量</w:t>
                  </w:r>
                </w:p>
              </w:tc>
              <w:tc>
                <w:tcPr>
                  <w:tcW w:w="791"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zh-CN"/>
                    </w:rPr>
                    <w:t>排放</w:t>
                  </w:r>
                </w:p>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总量</w:t>
                  </w:r>
                </w:p>
              </w:tc>
              <w:tc>
                <w:tcPr>
                  <w:tcW w:w="765" w:type="dxa"/>
                  <w:vMerge w:val="continue"/>
                  <w:noWrap w:val="0"/>
                  <w:vAlign w:val="center"/>
                </w:tcPr>
                <w:p>
                  <w:pPr>
                    <w:bidi w:val="0"/>
                    <w:jc w:val="center"/>
                    <w:rPr>
                      <w:rFonts w:hint="default" w:ascii="Times New Roman" w:hAnsi="Times New Roman" w:cs="Times New Roman"/>
                      <w:color w:val="auto"/>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349" w:type="dxa"/>
                  <w:vMerge w:val="restart"/>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废气</w:t>
                  </w:r>
                </w:p>
              </w:tc>
              <w:tc>
                <w:tcPr>
                  <w:tcW w:w="373" w:type="dxa"/>
                  <w:vMerge w:val="restart"/>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有组织</w:t>
                  </w:r>
                </w:p>
              </w:tc>
              <w:tc>
                <w:tcPr>
                  <w:tcW w:w="873" w:type="dxa"/>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颗粒物</w:t>
                  </w:r>
                </w:p>
              </w:tc>
              <w:tc>
                <w:tcPr>
                  <w:tcW w:w="83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0.009</w:t>
                  </w:r>
                </w:p>
              </w:tc>
              <w:tc>
                <w:tcPr>
                  <w:tcW w:w="85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76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870"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874"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0.009</w:t>
                  </w:r>
                </w:p>
              </w:tc>
              <w:tc>
                <w:tcPr>
                  <w:tcW w:w="840" w:type="dxa"/>
                  <w:noWrap w:val="0"/>
                  <w:vAlign w:val="center"/>
                </w:tcPr>
                <w:p>
                  <w:pPr>
                    <w:bidi w:val="0"/>
                    <w:jc w:val="center"/>
                    <w:rPr>
                      <w:rFonts w:hint="default" w:ascii="Times New Roman" w:hAnsi="Times New Roman" w:cs="Times New Roman"/>
                      <w:color w:val="auto"/>
                      <w:sz w:val="18"/>
                      <w:szCs w:val="18"/>
                      <w:lang w:val="en-US"/>
                    </w:rPr>
                  </w:pPr>
                  <w:r>
                    <w:rPr>
                      <w:rFonts w:hint="eastAsia" w:cs="Times New Roman"/>
                      <w:color w:val="auto"/>
                      <w:sz w:val="18"/>
                      <w:szCs w:val="18"/>
                      <w:lang w:val="en-US" w:eastAsia="zh-CN"/>
                    </w:rPr>
                    <w:t>-0.009</w:t>
                  </w:r>
                </w:p>
              </w:tc>
              <w:tc>
                <w:tcPr>
                  <w:tcW w:w="79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76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373"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873"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VOCs</w:t>
                  </w:r>
                </w:p>
              </w:tc>
              <w:tc>
                <w:tcPr>
                  <w:tcW w:w="83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0.009</w:t>
                  </w:r>
                </w:p>
              </w:tc>
              <w:tc>
                <w:tcPr>
                  <w:tcW w:w="85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76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870"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874"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0.009</w:t>
                  </w:r>
                </w:p>
              </w:tc>
              <w:tc>
                <w:tcPr>
                  <w:tcW w:w="840" w:type="dxa"/>
                  <w:noWrap w:val="0"/>
                  <w:vAlign w:val="center"/>
                </w:tcPr>
                <w:p>
                  <w:pPr>
                    <w:bidi w:val="0"/>
                    <w:jc w:val="center"/>
                    <w:rPr>
                      <w:rFonts w:hint="default" w:ascii="Times New Roman" w:hAnsi="Times New Roman" w:cs="Times New Roman"/>
                      <w:color w:val="auto"/>
                      <w:sz w:val="18"/>
                      <w:szCs w:val="18"/>
                      <w:lang w:val="zh-CN"/>
                    </w:rPr>
                  </w:pPr>
                  <w:r>
                    <w:rPr>
                      <w:rFonts w:hint="eastAsia" w:cs="Times New Roman"/>
                      <w:color w:val="auto"/>
                      <w:sz w:val="18"/>
                      <w:szCs w:val="18"/>
                      <w:lang w:val="en-US" w:eastAsia="zh-CN"/>
                    </w:rPr>
                    <w:t>-0.009</w:t>
                  </w:r>
                </w:p>
              </w:tc>
              <w:tc>
                <w:tcPr>
                  <w:tcW w:w="7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w:t>
                  </w:r>
                </w:p>
              </w:tc>
              <w:tc>
                <w:tcPr>
                  <w:tcW w:w="76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373" w:type="dxa"/>
                  <w:vMerge w:val="restart"/>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无组织</w:t>
                  </w:r>
                </w:p>
              </w:tc>
              <w:tc>
                <w:tcPr>
                  <w:tcW w:w="873" w:type="dxa"/>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颗粒物</w:t>
                  </w:r>
                </w:p>
              </w:tc>
              <w:tc>
                <w:tcPr>
                  <w:tcW w:w="83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0.001</w:t>
                  </w:r>
                </w:p>
              </w:tc>
              <w:tc>
                <w:tcPr>
                  <w:tcW w:w="85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765" w:type="dxa"/>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w:t>
                  </w:r>
                </w:p>
              </w:tc>
              <w:tc>
                <w:tcPr>
                  <w:tcW w:w="870"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874"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0.001</w:t>
                  </w:r>
                </w:p>
              </w:tc>
              <w:tc>
                <w:tcPr>
                  <w:tcW w:w="840"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-0.001</w:t>
                  </w:r>
                </w:p>
              </w:tc>
              <w:tc>
                <w:tcPr>
                  <w:tcW w:w="79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76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373"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873"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VOCs</w:t>
                  </w:r>
                </w:p>
              </w:tc>
              <w:tc>
                <w:tcPr>
                  <w:tcW w:w="83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0.001</w:t>
                  </w:r>
                </w:p>
              </w:tc>
              <w:tc>
                <w:tcPr>
                  <w:tcW w:w="85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765" w:type="dxa"/>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w:t>
                  </w:r>
                </w:p>
              </w:tc>
              <w:tc>
                <w:tcPr>
                  <w:tcW w:w="870" w:type="dxa"/>
                  <w:noWrap w:val="0"/>
                  <w:vAlign w:val="center"/>
                </w:tcPr>
                <w:p>
                  <w:pPr>
                    <w:bidi w:val="0"/>
                    <w:jc w:val="center"/>
                    <w:rPr>
                      <w:rFonts w:hint="default" w:ascii="Times New Roman" w:hAnsi="Times New Roman" w:cs="Times New Roman"/>
                      <w:color w:val="auto"/>
                      <w:sz w:val="18"/>
                      <w:szCs w:val="18"/>
                      <w:lang w:val="zh-CN" w:eastAsia="zh-CN"/>
                    </w:rPr>
                  </w:pPr>
                  <w:r>
                    <w:rPr>
                      <w:rFonts w:hint="eastAsia" w:cs="Times New Roman"/>
                      <w:color w:val="auto"/>
                      <w:sz w:val="18"/>
                      <w:szCs w:val="18"/>
                      <w:lang w:val="en-US" w:eastAsia="zh-CN"/>
                    </w:rPr>
                    <w:t>0</w:t>
                  </w:r>
                </w:p>
              </w:tc>
              <w:tc>
                <w:tcPr>
                  <w:tcW w:w="874"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0.001</w:t>
                  </w:r>
                </w:p>
              </w:tc>
              <w:tc>
                <w:tcPr>
                  <w:tcW w:w="840"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-0.001</w:t>
                  </w:r>
                </w:p>
              </w:tc>
              <w:tc>
                <w:tcPr>
                  <w:tcW w:w="79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76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373"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873"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氨</w:t>
                  </w:r>
                </w:p>
              </w:tc>
              <w:tc>
                <w:tcPr>
                  <w:tcW w:w="83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0.004</w:t>
                  </w:r>
                </w:p>
              </w:tc>
              <w:tc>
                <w:tcPr>
                  <w:tcW w:w="855" w:type="dxa"/>
                  <w:noWrap w:val="0"/>
                  <w:vAlign w:val="center"/>
                </w:tcPr>
                <w:p>
                  <w:pPr>
                    <w:jc w:val="center"/>
                    <w:textAlignment w:val="center"/>
                    <w:rPr>
                      <w:rFonts w:hint="default" w:ascii="Times New Roman" w:hAnsi="Times New Roman" w:cs="Times New Roman"/>
                      <w:color w:val="auto"/>
                      <w:sz w:val="18"/>
                      <w:szCs w:val="18"/>
                      <w:lang w:val="en-US" w:eastAsia="zh-CN"/>
                    </w:rPr>
                  </w:pPr>
                  <w:r>
                    <w:rPr>
                      <w:rFonts w:hint="eastAsia"/>
                      <w:bCs/>
                      <w:sz w:val="18"/>
                      <w:szCs w:val="18"/>
                      <w:lang w:val="en-US" w:eastAsia="zh-CN"/>
                    </w:rPr>
                    <w:t>0.002</w:t>
                  </w:r>
                </w:p>
              </w:tc>
              <w:tc>
                <w:tcPr>
                  <w:tcW w:w="765" w:type="dxa"/>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w:t>
                  </w:r>
                </w:p>
              </w:tc>
              <w:tc>
                <w:tcPr>
                  <w:tcW w:w="870" w:type="dxa"/>
                  <w:noWrap w:val="0"/>
                  <w:vAlign w:val="center"/>
                </w:tcPr>
                <w:p>
                  <w:pPr>
                    <w:jc w:val="center"/>
                    <w:textAlignment w:val="center"/>
                    <w:rPr>
                      <w:rFonts w:hint="default" w:ascii="Times New Roman" w:hAnsi="Times New Roman" w:cs="Times New Roman"/>
                      <w:color w:val="auto"/>
                      <w:sz w:val="18"/>
                      <w:szCs w:val="18"/>
                      <w:lang w:val="en-US" w:eastAsia="zh-CN"/>
                    </w:rPr>
                  </w:pPr>
                  <w:r>
                    <w:rPr>
                      <w:rFonts w:hint="eastAsia"/>
                      <w:bCs/>
                      <w:sz w:val="18"/>
                      <w:szCs w:val="18"/>
                      <w:lang w:val="en-US" w:eastAsia="zh-CN"/>
                    </w:rPr>
                    <w:t>0.002</w:t>
                  </w:r>
                </w:p>
              </w:tc>
              <w:tc>
                <w:tcPr>
                  <w:tcW w:w="874" w:type="dxa"/>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w:t>
                  </w:r>
                  <w:r>
                    <w:rPr>
                      <w:rFonts w:hint="eastAsia" w:cs="Times New Roman"/>
                      <w:color w:val="auto"/>
                      <w:sz w:val="18"/>
                      <w:szCs w:val="18"/>
                      <w:lang w:val="en-US" w:eastAsia="zh-CN"/>
                    </w:rPr>
                    <w:t>.002</w:t>
                  </w:r>
                </w:p>
              </w:tc>
              <w:tc>
                <w:tcPr>
                  <w:tcW w:w="840"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-0.002</w:t>
                  </w:r>
                </w:p>
              </w:tc>
              <w:tc>
                <w:tcPr>
                  <w:tcW w:w="791" w:type="dxa"/>
                  <w:noWrap w:val="0"/>
                  <w:vAlign w:val="center"/>
                </w:tcPr>
                <w:p>
                  <w:pPr>
                    <w:jc w:val="center"/>
                    <w:textAlignment w:val="center"/>
                    <w:rPr>
                      <w:rFonts w:hint="default" w:ascii="Times New Roman" w:hAnsi="Times New Roman" w:cs="Times New Roman"/>
                      <w:color w:val="auto"/>
                      <w:sz w:val="18"/>
                      <w:szCs w:val="18"/>
                      <w:lang w:val="en-US" w:eastAsia="zh-CN"/>
                    </w:rPr>
                  </w:pPr>
                  <w:r>
                    <w:rPr>
                      <w:rFonts w:hint="eastAsia"/>
                      <w:bCs/>
                      <w:sz w:val="18"/>
                      <w:szCs w:val="18"/>
                      <w:lang w:val="en-US" w:eastAsia="zh-CN"/>
                    </w:rPr>
                    <w:t>0.002</w:t>
                  </w:r>
                </w:p>
              </w:tc>
              <w:tc>
                <w:tcPr>
                  <w:tcW w:w="765" w:type="dxa"/>
                  <w:noWrap w:val="0"/>
                  <w:vAlign w:val="center"/>
                </w:tcPr>
                <w:p>
                  <w:pPr>
                    <w:jc w:val="center"/>
                    <w:textAlignment w:val="center"/>
                    <w:rPr>
                      <w:rFonts w:hint="default" w:ascii="Times New Roman" w:hAnsi="Times New Roman" w:cs="Times New Roman"/>
                      <w:color w:val="auto"/>
                      <w:sz w:val="18"/>
                      <w:szCs w:val="18"/>
                      <w:lang w:val="zh-CN"/>
                    </w:rPr>
                  </w:pPr>
                  <w:r>
                    <w:rPr>
                      <w:rFonts w:hint="eastAsia"/>
                      <w:bCs/>
                      <w:sz w:val="18"/>
                      <w:szCs w:val="18"/>
                      <w:lang w:val="en-US" w:eastAsia="zh-CN"/>
                    </w:rPr>
                    <w:t>0.002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373"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873" w:type="dxa"/>
                  <w:noWrap w:val="0"/>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硫化氢</w:t>
                  </w:r>
                </w:p>
              </w:tc>
              <w:tc>
                <w:tcPr>
                  <w:tcW w:w="83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0.0003</w:t>
                  </w:r>
                </w:p>
              </w:tc>
              <w:tc>
                <w:tcPr>
                  <w:tcW w:w="855" w:type="dxa"/>
                  <w:noWrap w:val="0"/>
                  <w:vAlign w:val="center"/>
                </w:tcPr>
                <w:p>
                  <w:pPr>
                    <w:jc w:val="center"/>
                    <w:textAlignment w:val="center"/>
                    <w:rPr>
                      <w:rFonts w:hint="eastAsia" w:cs="Times New Roman"/>
                      <w:color w:val="auto"/>
                      <w:sz w:val="18"/>
                      <w:szCs w:val="18"/>
                      <w:lang w:val="en-US" w:eastAsia="zh-CN"/>
                    </w:rPr>
                  </w:pPr>
                  <w:r>
                    <w:rPr>
                      <w:rFonts w:hint="eastAsia"/>
                      <w:bCs/>
                      <w:sz w:val="18"/>
                      <w:szCs w:val="18"/>
                    </w:rPr>
                    <w:t>0.000</w:t>
                  </w:r>
                  <w:r>
                    <w:rPr>
                      <w:rFonts w:hint="eastAsia"/>
                      <w:bCs/>
                      <w:sz w:val="18"/>
                      <w:szCs w:val="18"/>
                      <w:lang w:val="en-US" w:eastAsia="zh-CN"/>
                    </w:rPr>
                    <w:t>06</w:t>
                  </w:r>
                </w:p>
              </w:tc>
              <w:tc>
                <w:tcPr>
                  <w:tcW w:w="76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870" w:type="dxa"/>
                  <w:noWrap w:val="0"/>
                  <w:vAlign w:val="center"/>
                </w:tcPr>
                <w:p>
                  <w:pPr>
                    <w:jc w:val="center"/>
                    <w:textAlignment w:val="center"/>
                    <w:rPr>
                      <w:rFonts w:hint="eastAsia" w:cs="Times New Roman"/>
                      <w:color w:val="auto"/>
                      <w:sz w:val="18"/>
                      <w:szCs w:val="18"/>
                      <w:lang w:val="en-US" w:eastAsia="zh-CN"/>
                    </w:rPr>
                  </w:pPr>
                  <w:r>
                    <w:rPr>
                      <w:rFonts w:hint="eastAsia"/>
                      <w:bCs/>
                      <w:sz w:val="18"/>
                      <w:szCs w:val="18"/>
                    </w:rPr>
                    <w:t>0.000</w:t>
                  </w:r>
                  <w:r>
                    <w:rPr>
                      <w:rFonts w:hint="eastAsia"/>
                      <w:bCs/>
                      <w:sz w:val="18"/>
                      <w:szCs w:val="18"/>
                      <w:lang w:val="en-US" w:eastAsia="zh-CN"/>
                    </w:rPr>
                    <w:t>06</w:t>
                  </w:r>
                </w:p>
              </w:tc>
              <w:tc>
                <w:tcPr>
                  <w:tcW w:w="874"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0.00024</w:t>
                  </w:r>
                </w:p>
              </w:tc>
              <w:tc>
                <w:tcPr>
                  <w:tcW w:w="840"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-0.00024</w:t>
                  </w:r>
                </w:p>
              </w:tc>
              <w:tc>
                <w:tcPr>
                  <w:tcW w:w="791" w:type="dxa"/>
                  <w:noWrap w:val="0"/>
                  <w:vAlign w:val="center"/>
                </w:tcPr>
                <w:p>
                  <w:pPr>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bCs/>
                      <w:sz w:val="18"/>
                      <w:szCs w:val="18"/>
                    </w:rPr>
                    <w:t>0.000</w:t>
                  </w:r>
                  <w:r>
                    <w:rPr>
                      <w:rFonts w:hint="eastAsia"/>
                      <w:bCs/>
                      <w:sz w:val="18"/>
                      <w:szCs w:val="18"/>
                      <w:lang w:val="en-US" w:eastAsia="zh-CN"/>
                    </w:rPr>
                    <w:t>06</w:t>
                  </w:r>
                </w:p>
              </w:tc>
              <w:tc>
                <w:tcPr>
                  <w:tcW w:w="765" w:type="dxa"/>
                  <w:noWrap w:val="0"/>
                  <w:vAlign w:val="center"/>
                </w:tcPr>
                <w:p>
                  <w:pPr>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bCs/>
                      <w:sz w:val="18"/>
                      <w:szCs w:val="18"/>
                    </w:rPr>
                    <w:t>0.000</w:t>
                  </w:r>
                  <w:r>
                    <w:rPr>
                      <w:rFonts w:hint="eastAsia"/>
                      <w:bCs/>
                      <w:sz w:val="18"/>
                      <w:szCs w:val="18"/>
                      <w:lang w:val="en-US" w:eastAsia="zh-CN"/>
                    </w:rPr>
                    <w:t>06</w:t>
                  </w:r>
                  <w:bookmarkStart w:id="8" w:name="_GoBack"/>
                  <w:bookmarkEnd w:id="8"/>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49" w:type="dxa"/>
                  <w:vMerge w:val="restart"/>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废水</w:t>
                  </w:r>
                </w:p>
              </w:tc>
              <w:tc>
                <w:tcPr>
                  <w:tcW w:w="1246" w:type="dxa"/>
                  <w:gridSpan w:val="2"/>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废水量</w:t>
                  </w:r>
                </w:p>
              </w:tc>
              <w:tc>
                <w:tcPr>
                  <w:tcW w:w="83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olor w:val="auto"/>
                      <w:sz w:val="18"/>
                      <w:szCs w:val="18"/>
                      <w:lang w:val="en-US" w:eastAsia="zh-CN"/>
                    </w:rPr>
                    <w:t>8003.55</w:t>
                  </w:r>
                </w:p>
              </w:tc>
              <w:tc>
                <w:tcPr>
                  <w:tcW w:w="85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1601</w:t>
                  </w:r>
                </w:p>
              </w:tc>
              <w:tc>
                <w:tcPr>
                  <w:tcW w:w="765" w:type="dxa"/>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w:t>
                  </w:r>
                </w:p>
              </w:tc>
              <w:tc>
                <w:tcPr>
                  <w:tcW w:w="870"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1601</w:t>
                  </w:r>
                </w:p>
              </w:tc>
              <w:tc>
                <w:tcPr>
                  <w:tcW w:w="874"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5251.55</w:t>
                  </w:r>
                </w:p>
              </w:tc>
              <w:tc>
                <w:tcPr>
                  <w:tcW w:w="840" w:type="dxa"/>
                  <w:noWrap w:val="0"/>
                  <w:vAlign w:val="center"/>
                </w:tcPr>
                <w:p>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-3650.55</w:t>
                  </w:r>
                </w:p>
              </w:tc>
              <w:tc>
                <w:tcPr>
                  <w:tcW w:w="791"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4353</w:t>
                  </w:r>
                </w:p>
              </w:tc>
              <w:tc>
                <w:tcPr>
                  <w:tcW w:w="76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4353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1246" w:type="dxa"/>
                  <w:gridSpan w:val="2"/>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COD</w:t>
                  </w:r>
                </w:p>
              </w:tc>
              <w:tc>
                <w:tcPr>
                  <w:tcW w:w="83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1.49</w:t>
                  </w:r>
                </w:p>
              </w:tc>
              <w:tc>
                <w:tcPr>
                  <w:tcW w:w="85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1.3528 </w:t>
                  </w:r>
                </w:p>
              </w:tc>
              <w:tc>
                <w:tcPr>
                  <w:tcW w:w="76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1.2256 </w:t>
                  </w:r>
                </w:p>
              </w:tc>
              <w:tc>
                <w:tcPr>
                  <w:tcW w:w="87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0.1273 </w:t>
                  </w:r>
                </w:p>
              </w:tc>
              <w:tc>
                <w:tcPr>
                  <w:tcW w:w="874"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0.7591</w:t>
                  </w:r>
                </w:p>
              </w:tc>
              <w:tc>
                <w:tcPr>
                  <w:tcW w:w="84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0.6318</w:t>
                  </w:r>
                </w:p>
              </w:tc>
              <w:tc>
                <w:tcPr>
                  <w:tcW w:w="791"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0.8582</w:t>
                  </w:r>
                </w:p>
              </w:tc>
              <w:tc>
                <w:tcPr>
                  <w:tcW w:w="76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0.2177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1246" w:type="dxa"/>
                  <w:gridSpan w:val="2"/>
                  <w:noWrap w:val="0"/>
                  <w:vAlign w:val="center"/>
                </w:tcPr>
                <w:p>
                  <w:pPr>
                    <w:bidi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BOD</w:t>
                  </w:r>
                  <w:r>
                    <w:rPr>
                      <w:rFonts w:hint="eastAsia" w:cs="Times New Roman"/>
                      <w:color w:val="auto"/>
                      <w:sz w:val="18"/>
                      <w:szCs w:val="18"/>
                      <w:vertAlign w:val="subscript"/>
                      <w:lang w:val="en-US" w:eastAsia="zh-CN"/>
                    </w:rPr>
                    <w:t>5</w:t>
                  </w:r>
                </w:p>
              </w:tc>
              <w:tc>
                <w:tcPr>
                  <w:tcW w:w="83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w:t>
                  </w:r>
                </w:p>
              </w:tc>
              <w:tc>
                <w:tcPr>
                  <w:tcW w:w="85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0.5604 </w:t>
                  </w:r>
                </w:p>
              </w:tc>
              <w:tc>
                <w:tcPr>
                  <w:tcW w:w="76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0.5406 </w:t>
                  </w:r>
                </w:p>
              </w:tc>
              <w:tc>
                <w:tcPr>
                  <w:tcW w:w="87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0.0198 </w:t>
                  </w:r>
                </w:p>
              </w:tc>
              <w:tc>
                <w:tcPr>
                  <w:tcW w:w="874"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w:t>
                  </w:r>
                </w:p>
              </w:tc>
              <w:tc>
                <w:tcPr>
                  <w:tcW w:w="84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-0.0198</w:t>
                  </w:r>
                </w:p>
              </w:tc>
              <w:tc>
                <w:tcPr>
                  <w:tcW w:w="791"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0.0198</w:t>
                  </w:r>
                </w:p>
              </w:tc>
              <w:tc>
                <w:tcPr>
                  <w:tcW w:w="765" w:type="dxa"/>
                  <w:noWrap w:val="0"/>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 xml:space="preserve">0.0435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1246" w:type="dxa"/>
                  <w:gridSpan w:val="2"/>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SS</w:t>
                  </w:r>
                </w:p>
              </w:tc>
              <w:tc>
                <w:tcPr>
                  <w:tcW w:w="83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0.714</w:t>
                  </w:r>
                </w:p>
              </w:tc>
              <w:tc>
                <w:tcPr>
                  <w:tcW w:w="85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0.7124 </w:t>
                  </w:r>
                </w:p>
              </w:tc>
              <w:tc>
                <w:tcPr>
                  <w:tcW w:w="76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0.6725 </w:t>
                  </w:r>
                </w:p>
              </w:tc>
              <w:tc>
                <w:tcPr>
                  <w:tcW w:w="87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0.0399 </w:t>
                  </w:r>
                </w:p>
              </w:tc>
              <w:tc>
                <w:tcPr>
                  <w:tcW w:w="874" w:type="dxa"/>
                  <w:noWrap w:val="0"/>
                  <w:vAlign w:val="center"/>
                </w:tcPr>
                <w:p>
                  <w:pPr>
                    <w:bidi w:val="0"/>
                    <w:jc w:val="center"/>
                    <w:rPr>
                      <w:rFonts w:hint="default" w:cs="Times New Roman"/>
                      <w:color w:val="auto"/>
                      <w:sz w:val="18"/>
                      <w:szCs w:val="18"/>
                      <w:lang w:val="zh-CN" w:eastAsia="zh-CN"/>
                    </w:rPr>
                  </w:pPr>
                  <w:r>
                    <w:rPr>
                      <w:rFonts w:hint="eastAsia" w:cs="Times New Roman"/>
                      <w:color w:val="auto"/>
                      <w:sz w:val="18"/>
                      <w:szCs w:val="18"/>
                      <w:lang w:val="en-US" w:eastAsia="zh-CN"/>
                    </w:rPr>
                    <w:t>0.3345</w:t>
                  </w:r>
                </w:p>
              </w:tc>
              <w:tc>
                <w:tcPr>
                  <w:tcW w:w="84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0.2946</w:t>
                  </w:r>
                </w:p>
              </w:tc>
              <w:tc>
                <w:tcPr>
                  <w:tcW w:w="791"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0.4194</w:t>
                  </w:r>
                </w:p>
              </w:tc>
              <w:tc>
                <w:tcPr>
                  <w:tcW w:w="76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0.0435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1246" w:type="dxa"/>
                  <w:gridSpan w:val="2"/>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NH</w:t>
                  </w:r>
                  <w:r>
                    <w:rPr>
                      <w:rFonts w:hint="default" w:ascii="Times New Roman" w:hAnsi="Times New Roman" w:cs="Times New Roman"/>
                      <w:color w:val="auto"/>
                      <w:sz w:val="18"/>
                      <w:szCs w:val="18"/>
                      <w:vertAlign w:val="subscript"/>
                    </w:rPr>
                    <w:t>3</w:t>
                  </w:r>
                  <w:r>
                    <w:rPr>
                      <w:rFonts w:hint="default" w:ascii="Times New Roman" w:hAnsi="Times New Roman" w:cs="Times New Roman"/>
                      <w:color w:val="auto"/>
                      <w:sz w:val="18"/>
                      <w:szCs w:val="18"/>
                    </w:rPr>
                    <w:t>-N</w:t>
                  </w:r>
                </w:p>
              </w:tc>
              <w:tc>
                <w:tcPr>
                  <w:tcW w:w="83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0.147</w:t>
                  </w:r>
                </w:p>
              </w:tc>
              <w:tc>
                <w:tcPr>
                  <w:tcW w:w="85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0.0056 </w:t>
                  </w:r>
                </w:p>
              </w:tc>
              <w:tc>
                <w:tcPr>
                  <w:tcW w:w="765" w:type="dxa"/>
                  <w:noWrap w:val="0"/>
                  <w:vAlign w:val="center"/>
                </w:tcPr>
                <w:p>
                  <w:pPr>
                    <w:bidi w:val="0"/>
                    <w:jc w:val="center"/>
                    <w:rPr>
                      <w:rFonts w:hint="default" w:cs="Times New Roman"/>
                      <w:color w:val="auto"/>
                      <w:sz w:val="18"/>
                      <w:szCs w:val="18"/>
                      <w:lang w:val="zh-CN" w:eastAsia="zh-CN"/>
                    </w:rPr>
                  </w:pPr>
                  <w:r>
                    <w:rPr>
                      <w:rFonts w:hint="eastAsia" w:cs="Times New Roman"/>
                      <w:color w:val="auto"/>
                      <w:sz w:val="18"/>
                      <w:szCs w:val="18"/>
                      <w:lang w:val="en-US" w:eastAsia="zh-CN"/>
                    </w:rPr>
                    <w:t xml:space="preserve">0.0050 </w:t>
                  </w:r>
                </w:p>
              </w:tc>
              <w:tc>
                <w:tcPr>
                  <w:tcW w:w="87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0.0006 </w:t>
                  </w:r>
                </w:p>
              </w:tc>
              <w:tc>
                <w:tcPr>
                  <w:tcW w:w="874" w:type="dxa"/>
                  <w:noWrap w:val="0"/>
                  <w:vAlign w:val="center"/>
                </w:tcPr>
                <w:p>
                  <w:pPr>
                    <w:bidi w:val="0"/>
                    <w:jc w:val="center"/>
                    <w:rPr>
                      <w:rFonts w:hint="default" w:cs="Times New Roman"/>
                      <w:color w:val="auto"/>
                      <w:sz w:val="18"/>
                      <w:szCs w:val="18"/>
                      <w:lang w:val="zh-CN" w:eastAsia="zh-CN"/>
                    </w:rPr>
                  </w:pPr>
                  <w:r>
                    <w:rPr>
                      <w:rFonts w:hint="eastAsia" w:cs="Times New Roman"/>
                      <w:color w:val="auto"/>
                      <w:sz w:val="18"/>
                      <w:szCs w:val="18"/>
                      <w:lang w:val="en-US" w:eastAsia="zh-CN"/>
                    </w:rPr>
                    <w:t>0.087</w:t>
                  </w:r>
                </w:p>
              </w:tc>
              <w:tc>
                <w:tcPr>
                  <w:tcW w:w="84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0.0864</w:t>
                  </w:r>
                </w:p>
              </w:tc>
              <w:tc>
                <w:tcPr>
                  <w:tcW w:w="791"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0.0606</w:t>
                  </w:r>
                </w:p>
              </w:tc>
              <w:tc>
                <w:tcPr>
                  <w:tcW w:w="76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0.0218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1246" w:type="dxa"/>
                  <w:gridSpan w:val="2"/>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TP</w:t>
                  </w:r>
                </w:p>
              </w:tc>
              <w:tc>
                <w:tcPr>
                  <w:tcW w:w="83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0.002</w:t>
                  </w:r>
                </w:p>
              </w:tc>
              <w:tc>
                <w:tcPr>
                  <w:tcW w:w="85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0.0125 </w:t>
                  </w:r>
                </w:p>
              </w:tc>
              <w:tc>
                <w:tcPr>
                  <w:tcW w:w="765" w:type="dxa"/>
                  <w:noWrap w:val="0"/>
                  <w:vAlign w:val="center"/>
                </w:tcPr>
                <w:p>
                  <w:pPr>
                    <w:bidi w:val="0"/>
                    <w:jc w:val="center"/>
                    <w:rPr>
                      <w:rFonts w:hint="default" w:cs="Times New Roman"/>
                      <w:color w:val="auto"/>
                      <w:sz w:val="18"/>
                      <w:szCs w:val="18"/>
                      <w:lang w:val="zh-CN" w:eastAsia="zh-CN"/>
                    </w:rPr>
                  </w:pPr>
                  <w:r>
                    <w:rPr>
                      <w:rFonts w:hint="eastAsia" w:cs="Times New Roman"/>
                      <w:color w:val="auto"/>
                      <w:sz w:val="18"/>
                      <w:szCs w:val="18"/>
                      <w:lang w:val="en-US" w:eastAsia="zh-CN"/>
                    </w:rPr>
                    <w:t xml:space="preserve">0.0105 </w:t>
                  </w:r>
                </w:p>
              </w:tc>
              <w:tc>
                <w:tcPr>
                  <w:tcW w:w="87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0.0020 </w:t>
                  </w:r>
                </w:p>
              </w:tc>
              <w:tc>
                <w:tcPr>
                  <w:tcW w:w="874" w:type="dxa"/>
                  <w:noWrap w:val="0"/>
                  <w:vAlign w:val="center"/>
                </w:tcPr>
                <w:p>
                  <w:pPr>
                    <w:bidi w:val="0"/>
                    <w:jc w:val="center"/>
                    <w:rPr>
                      <w:rFonts w:hint="default" w:cs="Times New Roman"/>
                      <w:color w:val="auto"/>
                      <w:sz w:val="18"/>
                      <w:szCs w:val="18"/>
                      <w:lang w:val="zh-CN" w:eastAsia="zh-CN"/>
                    </w:rPr>
                  </w:pPr>
                  <w:r>
                    <w:rPr>
                      <w:rFonts w:hint="eastAsia" w:cs="Times New Roman"/>
                      <w:color w:val="auto"/>
                      <w:sz w:val="18"/>
                      <w:szCs w:val="18"/>
                      <w:lang w:val="en-US" w:eastAsia="zh-CN"/>
                    </w:rPr>
                    <w:t>0.0009</w:t>
                  </w:r>
                </w:p>
              </w:tc>
              <w:tc>
                <w:tcPr>
                  <w:tcW w:w="84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-0.0011</w:t>
                  </w:r>
                </w:p>
              </w:tc>
              <w:tc>
                <w:tcPr>
                  <w:tcW w:w="791"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0.0031</w:t>
                  </w:r>
                </w:p>
              </w:tc>
              <w:tc>
                <w:tcPr>
                  <w:tcW w:w="76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0.0022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1246" w:type="dxa"/>
                  <w:gridSpan w:val="2"/>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TN</w:t>
                  </w:r>
                </w:p>
              </w:tc>
              <w:tc>
                <w:tcPr>
                  <w:tcW w:w="83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0.2</w:t>
                  </w:r>
                </w:p>
              </w:tc>
              <w:tc>
                <w:tcPr>
                  <w:tcW w:w="855" w:type="dxa"/>
                  <w:noWrap w:val="0"/>
                  <w:vAlign w:val="center"/>
                </w:tcPr>
                <w:p>
                  <w:pPr>
                    <w:bidi w:val="0"/>
                    <w:jc w:val="center"/>
                    <w:rPr>
                      <w:rFonts w:hint="default" w:cs="Times New Roman"/>
                      <w:color w:val="auto"/>
                      <w:sz w:val="18"/>
                      <w:szCs w:val="18"/>
                      <w:lang w:val="zh-CN" w:eastAsia="zh-CN"/>
                    </w:rPr>
                  </w:pPr>
                  <w:r>
                    <w:rPr>
                      <w:rFonts w:hint="eastAsia" w:cs="Times New Roman"/>
                      <w:color w:val="auto"/>
                      <w:sz w:val="18"/>
                      <w:szCs w:val="18"/>
                      <w:lang w:val="en-US" w:eastAsia="zh-CN"/>
                    </w:rPr>
                    <w:t xml:space="preserve">0.0801 </w:t>
                  </w:r>
                </w:p>
              </w:tc>
              <w:tc>
                <w:tcPr>
                  <w:tcW w:w="765" w:type="dxa"/>
                  <w:noWrap w:val="0"/>
                  <w:vAlign w:val="center"/>
                </w:tcPr>
                <w:p>
                  <w:pPr>
                    <w:bidi w:val="0"/>
                    <w:jc w:val="center"/>
                    <w:rPr>
                      <w:rFonts w:hint="default" w:cs="Times New Roman"/>
                      <w:color w:val="auto"/>
                      <w:sz w:val="18"/>
                      <w:szCs w:val="18"/>
                      <w:lang w:val="zh-CN" w:eastAsia="zh-CN"/>
                    </w:rPr>
                  </w:pPr>
                  <w:r>
                    <w:rPr>
                      <w:rFonts w:hint="eastAsia" w:cs="Times New Roman"/>
                      <w:color w:val="auto"/>
                      <w:sz w:val="18"/>
                      <w:szCs w:val="18"/>
                      <w:lang w:val="en-US" w:eastAsia="zh-CN"/>
                    </w:rPr>
                    <w:t xml:space="preserve">0.0565 </w:t>
                  </w:r>
                </w:p>
              </w:tc>
              <w:tc>
                <w:tcPr>
                  <w:tcW w:w="87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0.0236 </w:t>
                  </w:r>
                </w:p>
              </w:tc>
              <w:tc>
                <w:tcPr>
                  <w:tcW w:w="874" w:type="dxa"/>
                  <w:noWrap w:val="0"/>
                  <w:vAlign w:val="center"/>
                </w:tcPr>
                <w:p>
                  <w:pPr>
                    <w:bidi w:val="0"/>
                    <w:jc w:val="center"/>
                    <w:rPr>
                      <w:rFonts w:hint="default" w:cs="Times New Roman"/>
                      <w:color w:val="auto"/>
                      <w:sz w:val="18"/>
                      <w:szCs w:val="18"/>
                      <w:lang w:val="zh-CN" w:eastAsia="zh-CN"/>
                    </w:rPr>
                  </w:pPr>
                  <w:r>
                    <w:rPr>
                      <w:rFonts w:hint="eastAsia" w:cs="Times New Roman"/>
                      <w:color w:val="auto"/>
                      <w:sz w:val="18"/>
                      <w:szCs w:val="18"/>
                      <w:lang w:val="en-US" w:eastAsia="zh-CN"/>
                    </w:rPr>
                    <w:t>0.1268</w:t>
                  </w:r>
                </w:p>
              </w:tc>
              <w:tc>
                <w:tcPr>
                  <w:tcW w:w="84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0.1032</w:t>
                  </w:r>
                </w:p>
              </w:tc>
              <w:tc>
                <w:tcPr>
                  <w:tcW w:w="791"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0.0968</w:t>
                  </w:r>
                </w:p>
              </w:tc>
              <w:tc>
                <w:tcPr>
                  <w:tcW w:w="76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0.0653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1246" w:type="dxa"/>
                  <w:gridSpan w:val="2"/>
                  <w:noWrap w:val="0"/>
                  <w:vAlign w:val="center"/>
                </w:tcPr>
                <w:p>
                  <w:pPr>
                    <w:bidi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LAS</w:t>
                  </w:r>
                </w:p>
              </w:tc>
              <w:tc>
                <w:tcPr>
                  <w:tcW w:w="83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0.087</w:t>
                  </w:r>
                </w:p>
              </w:tc>
              <w:tc>
                <w:tcPr>
                  <w:tcW w:w="85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0.0062 </w:t>
                  </w:r>
                </w:p>
              </w:tc>
              <w:tc>
                <w:tcPr>
                  <w:tcW w:w="76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0.0034 </w:t>
                  </w:r>
                </w:p>
              </w:tc>
              <w:tc>
                <w:tcPr>
                  <w:tcW w:w="87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 xml:space="preserve">0.0028 </w:t>
                  </w:r>
                </w:p>
              </w:tc>
              <w:tc>
                <w:tcPr>
                  <w:tcW w:w="874"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0.0888</w:t>
                  </w:r>
                </w:p>
              </w:tc>
              <w:tc>
                <w:tcPr>
                  <w:tcW w:w="84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0.086</w:t>
                  </w:r>
                </w:p>
              </w:tc>
              <w:tc>
                <w:tcPr>
                  <w:tcW w:w="791"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0.001</w:t>
                  </w:r>
                </w:p>
              </w:tc>
              <w:tc>
                <w:tcPr>
                  <w:tcW w:w="765" w:type="dxa"/>
                  <w:noWrap w:val="0"/>
                  <w:vAlign w:val="center"/>
                </w:tcPr>
                <w:p>
                  <w:pPr>
                    <w:bidi w:val="0"/>
                    <w:jc w:val="center"/>
                    <w:rPr>
                      <w:rFonts w:hint="eastAsia" w:cs="Times New Roman"/>
                      <w:color w:val="auto"/>
                      <w:sz w:val="18"/>
                      <w:szCs w:val="18"/>
                      <w:lang w:val="en-US" w:eastAsia="zh-CN"/>
                    </w:rPr>
                  </w:pPr>
                  <w:r>
                    <w:rPr>
                      <w:rFonts w:hint="eastAsia" w:cs="Times New Roman"/>
                      <w:color w:val="auto"/>
                      <w:sz w:val="18"/>
                      <w:szCs w:val="18"/>
                      <w:lang w:val="en-US" w:eastAsia="zh-CN"/>
                    </w:rPr>
                    <w:t>0.0022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1246" w:type="dxa"/>
                  <w:gridSpan w:val="2"/>
                  <w:noWrap w:val="0"/>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动植物油</w:t>
                  </w:r>
                </w:p>
              </w:tc>
              <w:tc>
                <w:tcPr>
                  <w:tcW w:w="83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0.001</w:t>
                  </w:r>
                </w:p>
              </w:tc>
              <w:tc>
                <w:tcPr>
                  <w:tcW w:w="855"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w:t>
                  </w:r>
                </w:p>
              </w:tc>
              <w:tc>
                <w:tcPr>
                  <w:tcW w:w="765" w:type="dxa"/>
                  <w:noWrap w:val="0"/>
                  <w:vAlign w:val="center"/>
                </w:tcPr>
                <w:p>
                  <w:pPr>
                    <w:bidi w:val="0"/>
                    <w:jc w:val="center"/>
                    <w:rPr>
                      <w:rFonts w:hint="default" w:cs="Times New Roman"/>
                      <w:color w:val="auto"/>
                      <w:sz w:val="18"/>
                      <w:szCs w:val="18"/>
                      <w:lang w:val="en-US" w:eastAsia="zh-CN"/>
                    </w:rPr>
                  </w:pPr>
                  <w:r>
                    <w:rPr>
                      <w:rFonts w:hint="default" w:cs="Times New Roman"/>
                      <w:color w:val="auto"/>
                      <w:sz w:val="18"/>
                      <w:szCs w:val="18"/>
                      <w:lang w:val="en-US" w:eastAsia="zh-CN"/>
                    </w:rPr>
                    <w:t>0</w:t>
                  </w:r>
                </w:p>
              </w:tc>
              <w:tc>
                <w:tcPr>
                  <w:tcW w:w="87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w:t>
                  </w:r>
                </w:p>
              </w:tc>
              <w:tc>
                <w:tcPr>
                  <w:tcW w:w="874" w:type="dxa"/>
                  <w:noWrap w:val="0"/>
                  <w:vAlign w:val="center"/>
                </w:tcPr>
                <w:p>
                  <w:pPr>
                    <w:bidi w:val="0"/>
                    <w:jc w:val="center"/>
                    <w:rPr>
                      <w:rFonts w:hint="default" w:cs="Times New Roman"/>
                      <w:color w:val="auto"/>
                      <w:sz w:val="18"/>
                      <w:szCs w:val="18"/>
                      <w:lang w:val="zh-CN" w:eastAsia="zh-CN"/>
                    </w:rPr>
                  </w:pPr>
                  <w:r>
                    <w:rPr>
                      <w:rFonts w:hint="eastAsia" w:cs="Times New Roman"/>
                      <w:color w:val="auto"/>
                      <w:sz w:val="18"/>
                      <w:szCs w:val="18"/>
                      <w:lang w:val="en-US" w:eastAsia="zh-CN"/>
                    </w:rPr>
                    <w:t>0</w:t>
                  </w:r>
                </w:p>
              </w:tc>
              <w:tc>
                <w:tcPr>
                  <w:tcW w:w="840"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w:t>
                  </w:r>
                </w:p>
              </w:tc>
              <w:tc>
                <w:tcPr>
                  <w:tcW w:w="791" w:type="dxa"/>
                  <w:noWrap w:val="0"/>
                  <w:vAlign w:val="center"/>
                </w:tcPr>
                <w:p>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0.001</w:t>
                  </w:r>
                </w:p>
              </w:tc>
              <w:tc>
                <w:tcPr>
                  <w:tcW w:w="765" w:type="dxa"/>
                  <w:noWrap w:val="0"/>
                  <w:vAlign w:val="center"/>
                </w:tcPr>
                <w:p>
                  <w:pPr>
                    <w:bidi w:val="0"/>
                    <w:jc w:val="center"/>
                    <w:rPr>
                      <w:rFonts w:hint="default" w:cs="Times New Roman"/>
                      <w:color w:val="auto"/>
                      <w:sz w:val="18"/>
                      <w:szCs w:val="18"/>
                      <w:lang w:val="zh-CN" w:eastAsia="zh-CN"/>
                    </w:rPr>
                  </w:pPr>
                  <w:r>
                    <w:rPr>
                      <w:rFonts w:hint="eastAsia" w:cs="Times New Roman"/>
                      <w:color w:val="auto"/>
                      <w:sz w:val="18"/>
                      <w:szCs w:val="18"/>
                      <w:lang w:val="en-US" w:eastAsia="zh-CN"/>
                    </w:rPr>
                    <w:t xml:space="preserve">0.0044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349" w:type="dxa"/>
                  <w:vMerge w:val="restart"/>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固废</w:t>
                  </w:r>
                </w:p>
              </w:tc>
              <w:tc>
                <w:tcPr>
                  <w:tcW w:w="1246" w:type="dxa"/>
                  <w:gridSpan w:val="2"/>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一般工业固废</w:t>
                  </w:r>
                </w:p>
              </w:tc>
              <w:tc>
                <w:tcPr>
                  <w:tcW w:w="83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18</w:t>
                  </w:r>
                </w:p>
              </w:tc>
              <w:tc>
                <w:tcPr>
                  <w:tcW w:w="85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5</w:t>
                  </w:r>
                </w:p>
              </w:tc>
              <w:tc>
                <w:tcPr>
                  <w:tcW w:w="765" w:type="dxa"/>
                  <w:noWrap w:val="0"/>
                  <w:vAlign w:val="center"/>
                </w:tcPr>
                <w:p>
                  <w:pPr>
                    <w:bidi w:val="0"/>
                    <w:jc w:val="center"/>
                    <w:rPr>
                      <w:rFonts w:hint="default" w:ascii="Times New Roman" w:hAnsi="Times New Roman" w:cs="Times New Roman"/>
                      <w:color w:val="auto"/>
                      <w:sz w:val="18"/>
                      <w:szCs w:val="18"/>
                      <w:lang w:val="en-US"/>
                    </w:rPr>
                  </w:pPr>
                  <w:r>
                    <w:rPr>
                      <w:rFonts w:hint="eastAsia" w:cs="Times New Roman"/>
                      <w:color w:val="auto"/>
                      <w:sz w:val="18"/>
                      <w:szCs w:val="18"/>
                      <w:lang w:val="en-US" w:eastAsia="zh-CN"/>
                    </w:rPr>
                    <w:t>5</w:t>
                  </w:r>
                </w:p>
              </w:tc>
              <w:tc>
                <w:tcPr>
                  <w:tcW w:w="870"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874"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840"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791"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765" w:type="dxa"/>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1246" w:type="dxa"/>
                  <w:gridSpan w:val="2"/>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危险固废</w:t>
                  </w:r>
                </w:p>
              </w:tc>
              <w:tc>
                <w:tcPr>
                  <w:tcW w:w="83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13.21</w:t>
                  </w:r>
                </w:p>
              </w:tc>
              <w:tc>
                <w:tcPr>
                  <w:tcW w:w="85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1.99</w:t>
                  </w:r>
                </w:p>
              </w:tc>
              <w:tc>
                <w:tcPr>
                  <w:tcW w:w="765" w:type="dxa"/>
                  <w:noWrap w:val="0"/>
                  <w:vAlign w:val="center"/>
                </w:tcPr>
                <w:p>
                  <w:pPr>
                    <w:bidi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1.99</w:t>
                  </w:r>
                </w:p>
              </w:tc>
              <w:tc>
                <w:tcPr>
                  <w:tcW w:w="870"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874"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840"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791"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765" w:type="dxa"/>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49" w:type="dxa"/>
                  <w:vMerge w:val="continue"/>
                  <w:noWrap w:val="0"/>
                  <w:vAlign w:val="center"/>
                </w:tcPr>
                <w:p>
                  <w:pPr>
                    <w:bidi w:val="0"/>
                    <w:jc w:val="center"/>
                    <w:rPr>
                      <w:rFonts w:hint="default" w:ascii="Times New Roman" w:hAnsi="Times New Roman" w:cs="Times New Roman"/>
                      <w:color w:val="auto"/>
                      <w:sz w:val="18"/>
                      <w:szCs w:val="18"/>
                      <w:lang w:val="en-US" w:eastAsia="zh-CN"/>
                    </w:rPr>
                  </w:pPr>
                </w:p>
              </w:tc>
              <w:tc>
                <w:tcPr>
                  <w:tcW w:w="1246" w:type="dxa"/>
                  <w:gridSpan w:val="2"/>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生活垃圾</w:t>
                  </w:r>
                </w:p>
              </w:tc>
              <w:tc>
                <w:tcPr>
                  <w:tcW w:w="835" w:type="dxa"/>
                  <w:noWrap w:val="0"/>
                  <w:vAlign w:val="center"/>
                </w:tcPr>
                <w:p>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2.64</w:t>
                  </w:r>
                </w:p>
              </w:tc>
              <w:tc>
                <w:tcPr>
                  <w:tcW w:w="855" w:type="dxa"/>
                  <w:noWrap w:val="0"/>
                  <w:vAlign w:val="center"/>
                </w:tcPr>
                <w:p>
                  <w:pPr>
                    <w:bidi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w:t>
                  </w:r>
                </w:p>
              </w:tc>
              <w:tc>
                <w:tcPr>
                  <w:tcW w:w="765"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870"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874"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840"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791" w:type="dxa"/>
                  <w:noWrap w:val="0"/>
                  <w:vAlign w:val="center"/>
                </w:tcPr>
                <w:p>
                  <w:pPr>
                    <w:bidi w:val="0"/>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en-US" w:eastAsia="zh-CN"/>
                    </w:rPr>
                    <w:t>0</w:t>
                  </w:r>
                </w:p>
              </w:tc>
              <w:tc>
                <w:tcPr>
                  <w:tcW w:w="765" w:type="dxa"/>
                  <w:noWrap w:val="0"/>
                  <w:vAlign w:val="center"/>
                </w:tcPr>
                <w:p>
                  <w:pPr>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0</w:t>
                  </w: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color w:val="auto"/>
                <w:sz w:val="21"/>
                <w:szCs w:val="21"/>
              </w:rPr>
            </w:pPr>
            <w:r>
              <w:rPr>
                <w:rFonts w:hint="eastAsia"/>
                <w:color w:val="auto"/>
                <w:sz w:val="21"/>
                <w:szCs w:val="21"/>
              </w:rPr>
              <w:t>2、总量控制指标</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color w:val="auto"/>
                <w:sz w:val="21"/>
                <w:szCs w:val="21"/>
              </w:rPr>
            </w:pPr>
            <w:r>
              <w:rPr>
                <w:rFonts w:hint="eastAsia"/>
                <w:color w:val="auto"/>
                <w:sz w:val="21"/>
                <w:szCs w:val="21"/>
              </w:rPr>
              <w:t>对照南通市生态环境局和南通市行政审批局文件《关于进一步优化建设项目排污总量指标管理提升环评审批效能的意见（试行）》的通知（通环办[2023]132号）中“需编制报批环境影响报告书（表）的新（改、扩）建项目（不含生活污水及工业废水集中处理厂、垃圾处理场、危险废物填埋和医疗废物处置厂），且属于《固定污染源排污许可分类管理名录》规定的重点管理或简化管理的排污单位，须通过交易获得新增排污总量指标。</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kern w:val="0"/>
                <w:szCs w:val="21"/>
              </w:rPr>
            </w:pPr>
            <w:r>
              <w:rPr>
                <w:rFonts w:hint="eastAsia"/>
                <w:color w:val="auto"/>
                <w:sz w:val="21"/>
                <w:szCs w:val="21"/>
              </w:rPr>
              <w:t>根据《国民经济行业分类》（GB/T 4754-2017），本项目为C1829其他针织或钩针编织服装制造，对照《固定污染源排污许可分类管理名录（2019年版）》，本项目为C1829其他针织或钩针编织服装制造，属于登记管理项目。因此项目对应实施登记管理。本项目属于实施登记管理的行业，无需申请废气、废水无许可排放总量。</w:t>
            </w:r>
          </w:p>
        </w:tc>
      </w:tr>
    </w:tbl>
    <w:p>
      <w:pPr>
        <w:pStyle w:val="10"/>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11"/>
        <w:tblW w:w="90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9"/>
        <w:gridCol w:w="8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8" w:hRule="atLeast"/>
          <w:jc w:val="center"/>
        </w:trPr>
        <w:tc>
          <w:tcPr>
            <w:tcW w:w="569" w:type="dxa"/>
            <w:noWrap w:val="0"/>
            <w:tcMar>
              <w:left w:w="28" w:type="dxa"/>
              <w:right w:w="28" w:type="dxa"/>
            </w:tcMar>
            <w:vAlign w:val="center"/>
          </w:tcPr>
          <w:p>
            <w:pPr>
              <w:pStyle w:val="10"/>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施工</w:t>
            </w:r>
          </w:p>
          <w:p>
            <w:pPr>
              <w:pStyle w:val="10"/>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期环</w:t>
            </w:r>
          </w:p>
          <w:p>
            <w:pPr>
              <w:pStyle w:val="10"/>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境保</w:t>
            </w:r>
          </w:p>
          <w:p>
            <w:pPr>
              <w:pStyle w:val="10"/>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护措</w:t>
            </w:r>
          </w:p>
          <w:p>
            <w:pPr>
              <w:pStyle w:val="10"/>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施</w:t>
            </w:r>
          </w:p>
          <w:p>
            <w:pPr>
              <w:pStyle w:val="10"/>
              <w:adjustRightInd w:val="0"/>
              <w:snapToGrid w:val="0"/>
              <w:spacing w:before="0" w:beforeAutospacing="0" w:after="0" w:afterAutospacing="0" w:line="320" w:lineRule="exact"/>
              <w:jc w:val="both"/>
              <w:rPr>
                <w:rFonts w:ascii="Times New Roman" w:hAnsi="Times New Roman"/>
                <w:kern w:val="2"/>
                <w:sz w:val="21"/>
                <w:szCs w:val="21"/>
              </w:rPr>
            </w:pPr>
          </w:p>
        </w:tc>
        <w:tc>
          <w:tcPr>
            <w:tcW w:w="8450" w:type="dxa"/>
            <w:noWrap w:val="0"/>
            <w:vAlign w:val="center"/>
          </w:tcPr>
          <w:p>
            <w:pPr>
              <w:adjustRightInd w:val="0"/>
              <w:snapToGrid w:val="0"/>
              <w:spacing w:line="500" w:lineRule="exact"/>
              <w:ind w:firstLine="420" w:firstLineChars="200"/>
              <w:rPr>
                <w:kern w:val="0"/>
                <w:szCs w:val="21"/>
              </w:rPr>
            </w:pPr>
            <w:r>
              <w:rPr>
                <w:rFonts w:hint="eastAsia"/>
                <w:kern w:val="0"/>
                <w:szCs w:val="21"/>
              </w:rPr>
              <w:t>项目依托现有车间进行生产，车间以及给排水系统、供电系统等公辅工程均已建设完毕。因此，项目不涉及施工期。</w:t>
            </w:r>
          </w:p>
          <w:p>
            <w:pPr>
              <w:adjustRightInd w:val="0"/>
              <w:snapToGrid w:val="0"/>
              <w:spacing w:line="360" w:lineRule="auto"/>
              <w:ind w:firstLine="420" w:firstLineChars="200"/>
              <w:rPr>
                <w:rFonts w:hint="eastAsia" w:ascii="Times New Roman" w:hAnsi="Times New Roman" w:eastAsia="宋体" w:cs="Times New Roman"/>
              </w:rPr>
            </w:pPr>
          </w:p>
          <w:p>
            <w:pPr>
              <w:adjustRightInd w:val="0"/>
              <w:snapToGrid w:val="0"/>
              <w:spacing w:line="360" w:lineRule="auto"/>
              <w:ind w:firstLine="420" w:firstLineChars="200"/>
              <w:rPr>
                <w:szCs w:val="21"/>
              </w:rPr>
            </w:pPr>
          </w:p>
          <w:p>
            <w:pPr>
              <w:pStyle w:val="2"/>
              <w:rPr>
                <w:szCs w:val="21"/>
              </w:rPr>
            </w:pPr>
          </w:p>
          <w:p>
            <w:pPr>
              <w:rPr>
                <w:szCs w:val="21"/>
              </w:rPr>
            </w:pPr>
          </w:p>
          <w:p>
            <w:pPr>
              <w:pStyle w:val="2"/>
            </w:pPr>
          </w:p>
        </w:tc>
      </w:tr>
    </w:tbl>
    <w:tbl>
      <w:tblPr>
        <w:tblStyle w:val="12"/>
        <w:tblW w:w="0" w:type="auto"/>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bidi w:val="0"/>
              <w:rPr>
                <w:rFonts w:hint="default"/>
              </w:rPr>
            </w:pPr>
          </w:p>
        </w:tc>
        <w:tc>
          <w:tcPr>
            <w:tcW w:w="8097" w:type="dxa"/>
          </w:tcPr>
          <w:p>
            <w:pPr>
              <w:adjustRightInd w:val="0"/>
              <w:snapToGrid w:val="0"/>
              <w:spacing w:line="500" w:lineRule="exact"/>
              <w:rPr>
                <w:b/>
                <w:szCs w:val="21"/>
              </w:rPr>
            </w:pPr>
            <w:r>
              <w:rPr>
                <w:rFonts w:hint="eastAsia"/>
                <w:b/>
                <w:szCs w:val="21"/>
              </w:rPr>
              <w:t>一、废气</w:t>
            </w:r>
          </w:p>
          <w:p>
            <w:pPr>
              <w:adjustRightInd w:val="0"/>
              <w:snapToGrid w:val="0"/>
              <w:jc w:val="center"/>
              <w:rPr>
                <w:rFonts w:hint="eastAsia"/>
                <w:b/>
                <w:szCs w:val="21"/>
              </w:rPr>
            </w:pPr>
            <w:r>
              <w:rPr>
                <w:b/>
                <w:szCs w:val="21"/>
              </w:rPr>
              <w:t>表</w:t>
            </w:r>
            <w:r>
              <w:rPr>
                <w:rFonts w:hint="eastAsia"/>
                <w:b/>
                <w:szCs w:val="21"/>
              </w:rPr>
              <w:t>4-1</w:t>
            </w:r>
            <w:r>
              <w:rPr>
                <w:b/>
                <w:szCs w:val="21"/>
              </w:rPr>
              <w:t xml:space="preserve">    项目废气污染物源强情况</w:t>
            </w:r>
          </w:p>
          <w:tbl>
            <w:tblPr>
              <w:tblStyle w:val="11"/>
              <w:tblW w:w="789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108" w:type="dxa"/>
                <w:bottom w:w="0" w:type="dxa"/>
                <w:right w:w="108" w:type="dxa"/>
              </w:tblCellMar>
            </w:tblPr>
            <w:tblGrid>
              <w:gridCol w:w="408"/>
              <w:gridCol w:w="569"/>
              <w:gridCol w:w="827"/>
              <w:gridCol w:w="661"/>
              <w:gridCol w:w="633"/>
              <w:gridCol w:w="779"/>
              <w:gridCol w:w="970"/>
              <w:gridCol w:w="868"/>
              <w:gridCol w:w="765"/>
              <w:gridCol w:w="883"/>
              <w:gridCol w:w="53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381" w:hRule="atLeast"/>
                <w:jc w:val="center"/>
              </w:trPr>
              <w:tc>
                <w:tcPr>
                  <w:tcW w:w="408" w:type="dxa"/>
                  <w:vMerge w:val="restart"/>
                  <w:noWrap w:val="0"/>
                  <w:tcMar>
                    <w:top w:w="15" w:type="dxa"/>
                    <w:left w:w="15" w:type="dxa"/>
                    <w:bottom w:w="15" w:type="dxa"/>
                    <w:right w:w="15" w:type="dxa"/>
                  </w:tcMar>
                  <w:vAlign w:val="center"/>
                </w:tcPr>
                <w:p>
                  <w:pPr>
                    <w:jc w:val="center"/>
                    <w:textAlignment w:val="center"/>
                    <w:rPr>
                      <w:bCs/>
                      <w:sz w:val="18"/>
                      <w:szCs w:val="18"/>
                    </w:rPr>
                  </w:pPr>
                  <w:r>
                    <w:rPr>
                      <w:bCs/>
                      <w:sz w:val="18"/>
                      <w:szCs w:val="18"/>
                    </w:rPr>
                    <w:t>产污</w:t>
                  </w:r>
                </w:p>
                <w:p>
                  <w:pPr>
                    <w:jc w:val="center"/>
                    <w:textAlignment w:val="center"/>
                    <w:rPr>
                      <w:bCs/>
                      <w:sz w:val="18"/>
                      <w:szCs w:val="18"/>
                    </w:rPr>
                  </w:pPr>
                  <w:r>
                    <w:rPr>
                      <w:bCs/>
                      <w:sz w:val="18"/>
                      <w:szCs w:val="18"/>
                    </w:rPr>
                    <w:t>环节</w:t>
                  </w:r>
                </w:p>
              </w:tc>
              <w:tc>
                <w:tcPr>
                  <w:tcW w:w="569" w:type="dxa"/>
                  <w:vMerge w:val="restart"/>
                  <w:noWrap w:val="0"/>
                  <w:tcMar>
                    <w:top w:w="15" w:type="dxa"/>
                    <w:left w:w="15" w:type="dxa"/>
                    <w:bottom w:w="15" w:type="dxa"/>
                    <w:right w:w="15" w:type="dxa"/>
                  </w:tcMar>
                  <w:vAlign w:val="center"/>
                </w:tcPr>
                <w:p>
                  <w:pPr>
                    <w:jc w:val="center"/>
                    <w:textAlignment w:val="center"/>
                    <w:rPr>
                      <w:bCs/>
                      <w:sz w:val="18"/>
                      <w:szCs w:val="18"/>
                    </w:rPr>
                  </w:pPr>
                  <w:r>
                    <w:rPr>
                      <w:bCs/>
                      <w:sz w:val="18"/>
                      <w:szCs w:val="18"/>
                    </w:rPr>
                    <w:t>污染物</w:t>
                  </w:r>
                </w:p>
                <w:p>
                  <w:pPr>
                    <w:jc w:val="center"/>
                    <w:textAlignment w:val="center"/>
                    <w:rPr>
                      <w:bCs/>
                      <w:sz w:val="18"/>
                      <w:szCs w:val="18"/>
                    </w:rPr>
                  </w:pPr>
                  <w:r>
                    <w:rPr>
                      <w:bCs/>
                      <w:sz w:val="18"/>
                      <w:szCs w:val="18"/>
                    </w:rPr>
                    <w:t>种类</w:t>
                  </w:r>
                </w:p>
              </w:tc>
              <w:tc>
                <w:tcPr>
                  <w:tcW w:w="2121" w:type="dxa"/>
                  <w:gridSpan w:val="3"/>
                  <w:noWrap w:val="0"/>
                  <w:tcMar>
                    <w:top w:w="15" w:type="dxa"/>
                    <w:left w:w="15" w:type="dxa"/>
                    <w:bottom w:w="15" w:type="dxa"/>
                    <w:right w:w="15" w:type="dxa"/>
                  </w:tcMar>
                  <w:vAlign w:val="center"/>
                </w:tcPr>
                <w:p>
                  <w:pPr>
                    <w:jc w:val="center"/>
                    <w:textAlignment w:val="center"/>
                    <w:rPr>
                      <w:bCs/>
                      <w:sz w:val="18"/>
                      <w:szCs w:val="18"/>
                    </w:rPr>
                  </w:pPr>
                  <w:r>
                    <w:rPr>
                      <w:bCs/>
                      <w:sz w:val="18"/>
                      <w:szCs w:val="18"/>
                    </w:rPr>
                    <w:t>污染物产生情况</w:t>
                  </w:r>
                </w:p>
              </w:tc>
              <w:tc>
                <w:tcPr>
                  <w:tcW w:w="779" w:type="dxa"/>
                  <w:vMerge w:val="restart"/>
                  <w:noWrap w:val="0"/>
                  <w:tcMar>
                    <w:top w:w="15" w:type="dxa"/>
                    <w:left w:w="15" w:type="dxa"/>
                    <w:bottom w:w="15" w:type="dxa"/>
                    <w:right w:w="15" w:type="dxa"/>
                  </w:tcMar>
                  <w:vAlign w:val="center"/>
                </w:tcPr>
                <w:p>
                  <w:pPr>
                    <w:jc w:val="center"/>
                    <w:textAlignment w:val="center"/>
                    <w:rPr>
                      <w:bCs/>
                      <w:sz w:val="18"/>
                      <w:szCs w:val="18"/>
                    </w:rPr>
                  </w:pPr>
                  <w:r>
                    <w:rPr>
                      <w:bCs/>
                      <w:sz w:val="18"/>
                      <w:szCs w:val="18"/>
                    </w:rPr>
                    <w:t>排放</w:t>
                  </w:r>
                </w:p>
                <w:p>
                  <w:pPr>
                    <w:jc w:val="center"/>
                    <w:textAlignment w:val="center"/>
                    <w:rPr>
                      <w:bCs/>
                      <w:sz w:val="18"/>
                      <w:szCs w:val="18"/>
                    </w:rPr>
                  </w:pPr>
                  <w:r>
                    <w:rPr>
                      <w:bCs/>
                      <w:sz w:val="18"/>
                      <w:szCs w:val="18"/>
                    </w:rPr>
                    <w:t>形式</w:t>
                  </w:r>
                </w:p>
              </w:tc>
              <w:tc>
                <w:tcPr>
                  <w:tcW w:w="2603" w:type="dxa"/>
                  <w:gridSpan w:val="3"/>
                  <w:noWrap w:val="0"/>
                  <w:vAlign w:val="center"/>
                </w:tcPr>
                <w:p>
                  <w:pPr>
                    <w:jc w:val="center"/>
                    <w:textAlignment w:val="center"/>
                    <w:rPr>
                      <w:bCs/>
                      <w:sz w:val="18"/>
                      <w:szCs w:val="18"/>
                    </w:rPr>
                  </w:pPr>
                  <w:r>
                    <w:rPr>
                      <w:bCs/>
                      <w:sz w:val="18"/>
                      <w:szCs w:val="18"/>
                    </w:rPr>
                    <w:t>污染物排放情况</w:t>
                  </w:r>
                </w:p>
              </w:tc>
              <w:tc>
                <w:tcPr>
                  <w:tcW w:w="1416" w:type="dxa"/>
                  <w:gridSpan w:val="2"/>
                  <w:noWrap w:val="0"/>
                  <w:vAlign w:val="center"/>
                </w:tcPr>
                <w:p>
                  <w:pPr>
                    <w:jc w:val="center"/>
                    <w:textAlignment w:val="center"/>
                    <w:rPr>
                      <w:bCs/>
                      <w:sz w:val="18"/>
                      <w:szCs w:val="18"/>
                    </w:rPr>
                  </w:pPr>
                  <w:r>
                    <w:rPr>
                      <w:bCs/>
                      <w:sz w:val="18"/>
                      <w:szCs w:val="18"/>
                    </w:rPr>
                    <w:t>排放标准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1003" w:hRule="atLeast"/>
                <w:jc w:val="center"/>
              </w:trPr>
              <w:tc>
                <w:tcPr>
                  <w:tcW w:w="408" w:type="dxa"/>
                  <w:vMerge w:val="continue"/>
                  <w:noWrap w:val="0"/>
                  <w:tcMar>
                    <w:top w:w="15" w:type="dxa"/>
                    <w:left w:w="15" w:type="dxa"/>
                    <w:bottom w:w="15" w:type="dxa"/>
                    <w:right w:w="15" w:type="dxa"/>
                  </w:tcMar>
                  <w:vAlign w:val="center"/>
                </w:tcPr>
                <w:p>
                  <w:pPr>
                    <w:jc w:val="center"/>
                    <w:textAlignment w:val="center"/>
                    <w:rPr>
                      <w:bCs/>
                      <w:sz w:val="18"/>
                      <w:szCs w:val="18"/>
                    </w:rPr>
                  </w:pPr>
                </w:p>
              </w:tc>
              <w:tc>
                <w:tcPr>
                  <w:tcW w:w="569" w:type="dxa"/>
                  <w:vMerge w:val="continue"/>
                  <w:noWrap w:val="0"/>
                  <w:tcMar>
                    <w:top w:w="15" w:type="dxa"/>
                    <w:left w:w="15" w:type="dxa"/>
                    <w:bottom w:w="15" w:type="dxa"/>
                    <w:right w:w="15" w:type="dxa"/>
                  </w:tcMar>
                  <w:vAlign w:val="center"/>
                </w:tcPr>
                <w:p>
                  <w:pPr>
                    <w:jc w:val="center"/>
                    <w:textAlignment w:val="center"/>
                    <w:rPr>
                      <w:bCs/>
                      <w:sz w:val="18"/>
                      <w:szCs w:val="18"/>
                    </w:rPr>
                  </w:pPr>
                </w:p>
              </w:tc>
              <w:tc>
                <w:tcPr>
                  <w:tcW w:w="827" w:type="dxa"/>
                  <w:noWrap w:val="0"/>
                  <w:tcMar>
                    <w:top w:w="15" w:type="dxa"/>
                    <w:left w:w="15" w:type="dxa"/>
                    <w:bottom w:w="15" w:type="dxa"/>
                    <w:right w:w="15" w:type="dxa"/>
                  </w:tcMar>
                  <w:vAlign w:val="center"/>
                </w:tcPr>
                <w:p>
                  <w:pPr>
                    <w:jc w:val="center"/>
                    <w:textAlignment w:val="center"/>
                    <w:rPr>
                      <w:bCs/>
                      <w:sz w:val="18"/>
                      <w:szCs w:val="18"/>
                    </w:rPr>
                  </w:pPr>
                  <w:r>
                    <w:rPr>
                      <w:bCs/>
                      <w:sz w:val="18"/>
                      <w:szCs w:val="18"/>
                    </w:rPr>
                    <w:t>产生浓度</w:t>
                  </w:r>
                </w:p>
                <w:p>
                  <w:pPr>
                    <w:jc w:val="center"/>
                    <w:textAlignment w:val="center"/>
                    <w:rPr>
                      <w:bCs/>
                      <w:sz w:val="18"/>
                      <w:szCs w:val="18"/>
                    </w:rPr>
                  </w:pPr>
                  <w:r>
                    <w:rPr>
                      <w:bCs/>
                      <w:sz w:val="18"/>
                      <w:szCs w:val="18"/>
                    </w:rPr>
                    <w:t>（mg/m</w:t>
                  </w:r>
                  <w:r>
                    <w:rPr>
                      <w:bCs/>
                      <w:sz w:val="18"/>
                      <w:szCs w:val="18"/>
                      <w:vertAlign w:val="superscript"/>
                    </w:rPr>
                    <w:t>3</w:t>
                  </w:r>
                  <w:r>
                    <w:rPr>
                      <w:bCs/>
                      <w:sz w:val="18"/>
                      <w:szCs w:val="18"/>
                    </w:rPr>
                    <w:t>）</w:t>
                  </w:r>
                </w:p>
              </w:tc>
              <w:tc>
                <w:tcPr>
                  <w:tcW w:w="661" w:type="dxa"/>
                  <w:noWrap w:val="0"/>
                  <w:tcMar>
                    <w:top w:w="15" w:type="dxa"/>
                    <w:left w:w="15" w:type="dxa"/>
                    <w:bottom w:w="15" w:type="dxa"/>
                    <w:right w:w="15" w:type="dxa"/>
                  </w:tcMar>
                  <w:vAlign w:val="center"/>
                </w:tcPr>
                <w:p>
                  <w:pPr>
                    <w:jc w:val="center"/>
                    <w:textAlignment w:val="center"/>
                    <w:rPr>
                      <w:bCs/>
                      <w:sz w:val="18"/>
                      <w:szCs w:val="18"/>
                    </w:rPr>
                  </w:pPr>
                  <w:r>
                    <w:rPr>
                      <w:bCs/>
                      <w:sz w:val="18"/>
                      <w:szCs w:val="18"/>
                    </w:rPr>
                    <w:t>产生速率</w:t>
                  </w:r>
                </w:p>
                <w:p>
                  <w:pPr>
                    <w:jc w:val="center"/>
                    <w:textAlignment w:val="center"/>
                    <w:rPr>
                      <w:bCs/>
                      <w:sz w:val="18"/>
                      <w:szCs w:val="18"/>
                    </w:rPr>
                  </w:pPr>
                  <w:r>
                    <w:rPr>
                      <w:bCs/>
                      <w:sz w:val="18"/>
                      <w:szCs w:val="18"/>
                    </w:rPr>
                    <w:t>（kg/h）</w:t>
                  </w:r>
                </w:p>
              </w:tc>
              <w:tc>
                <w:tcPr>
                  <w:tcW w:w="633" w:type="dxa"/>
                  <w:noWrap w:val="0"/>
                  <w:tcMar>
                    <w:top w:w="15" w:type="dxa"/>
                    <w:left w:w="15" w:type="dxa"/>
                    <w:bottom w:w="15" w:type="dxa"/>
                    <w:right w:w="15" w:type="dxa"/>
                  </w:tcMar>
                  <w:vAlign w:val="center"/>
                </w:tcPr>
                <w:p>
                  <w:pPr>
                    <w:jc w:val="center"/>
                    <w:textAlignment w:val="center"/>
                    <w:rPr>
                      <w:bCs/>
                      <w:sz w:val="18"/>
                      <w:szCs w:val="18"/>
                    </w:rPr>
                  </w:pPr>
                  <w:r>
                    <w:rPr>
                      <w:bCs/>
                      <w:sz w:val="18"/>
                      <w:szCs w:val="18"/>
                    </w:rPr>
                    <w:t>产生量</w:t>
                  </w:r>
                </w:p>
                <w:p>
                  <w:pPr>
                    <w:jc w:val="center"/>
                    <w:textAlignment w:val="center"/>
                    <w:rPr>
                      <w:bCs/>
                      <w:sz w:val="18"/>
                      <w:szCs w:val="18"/>
                    </w:rPr>
                  </w:pPr>
                  <w:r>
                    <w:rPr>
                      <w:bCs/>
                      <w:sz w:val="18"/>
                      <w:szCs w:val="18"/>
                    </w:rPr>
                    <w:t>（t/a）</w:t>
                  </w:r>
                </w:p>
              </w:tc>
              <w:tc>
                <w:tcPr>
                  <w:tcW w:w="779" w:type="dxa"/>
                  <w:vMerge w:val="continue"/>
                  <w:noWrap w:val="0"/>
                  <w:tcMar>
                    <w:top w:w="15" w:type="dxa"/>
                    <w:left w:w="15" w:type="dxa"/>
                    <w:bottom w:w="15" w:type="dxa"/>
                    <w:right w:w="15" w:type="dxa"/>
                  </w:tcMar>
                  <w:vAlign w:val="center"/>
                </w:tcPr>
                <w:p>
                  <w:pPr>
                    <w:jc w:val="center"/>
                    <w:textAlignment w:val="center"/>
                    <w:rPr>
                      <w:bCs/>
                      <w:sz w:val="18"/>
                      <w:szCs w:val="18"/>
                    </w:rPr>
                  </w:pPr>
                </w:p>
              </w:tc>
              <w:tc>
                <w:tcPr>
                  <w:tcW w:w="970" w:type="dxa"/>
                  <w:noWrap w:val="0"/>
                  <w:vAlign w:val="center"/>
                </w:tcPr>
                <w:p>
                  <w:pPr>
                    <w:jc w:val="center"/>
                    <w:textAlignment w:val="center"/>
                    <w:rPr>
                      <w:bCs/>
                      <w:sz w:val="18"/>
                      <w:szCs w:val="18"/>
                    </w:rPr>
                  </w:pPr>
                  <w:r>
                    <w:rPr>
                      <w:bCs/>
                      <w:sz w:val="18"/>
                      <w:szCs w:val="18"/>
                    </w:rPr>
                    <w:t>排放浓度</w:t>
                  </w:r>
                </w:p>
                <w:p>
                  <w:pPr>
                    <w:jc w:val="center"/>
                    <w:textAlignment w:val="center"/>
                    <w:rPr>
                      <w:bCs/>
                      <w:sz w:val="18"/>
                      <w:szCs w:val="18"/>
                    </w:rPr>
                  </w:pPr>
                  <w:r>
                    <w:rPr>
                      <w:bCs/>
                      <w:sz w:val="18"/>
                      <w:szCs w:val="18"/>
                    </w:rPr>
                    <w:t>（mg/m</w:t>
                  </w:r>
                  <w:r>
                    <w:rPr>
                      <w:bCs/>
                      <w:sz w:val="18"/>
                      <w:szCs w:val="18"/>
                      <w:vertAlign w:val="superscript"/>
                    </w:rPr>
                    <w:t>3</w:t>
                  </w:r>
                  <w:r>
                    <w:rPr>
                      <w:bCs/>
                      <w:sz w:val="18"/>
                      <w:szCs w:val="18"/>
                    </w:rPr>
                    <w:t>）</w:t>
                  </w:r>
                </w:p>
              </w:tc>
              <w:tc>
                <w:tcPr>
                  <w:tcW w:w="868" w:type="dxa"/>
                  <w:noWrap w:val="0"/>
                  <w:vAlign w:val="center"/>
                </w:tcPr>
                <w:p>
                  <w:pPr>
                    <w:jc w:val="center"/>
                    <w:textAlignment w:val="center"/>
                    <w:rPr>
                      <w:bCs/>
                      <w:sz w:val="18"/>
                      <w:szCs w:val="18"/>
                    </w:rPr>
                  </w:pPr>
                  <w:r>
                    <w:rPr>
                      <w:bCs/>
                      <w:sz w:val="18"/>
                      <w:szCs w:val="18"/>
                    </w:rPr>
                    <w:t>排放速率（kg/h）</w:t>
                  </w:r>
                </w:p>
              </w:tc>
              <w:tc>
                <w:tcPr>
                  <w:tcW w:w="765" w:type="dxa"/>
                  <w:noWrap w:val="0"/>
                  <w:vAlign w:val="center"/>
                </w:tcPr>
                <w:p>
                  <w:pPr>
                    <w:jc w:val="center"/>
                    <w:textAlignment w:val="center"/>
                    <w:rPr>
                      <w:bCs/>
                      <w:sz w:val="18"/>
                      <w:szCs w:val="18"/>
                    </w:rPr>
                  </w:pPr>
                  <w:r>
                    <w:rPr>
                      <w:bCs/>
                      <w:sz w:val="18"/>
                      <w:szCs w:val="18"/>
                    </w:rPr>
                    <w:t>排放量</w:t>
                  </w:r>
                </w:p>
                <w:p>
                  <w:pPr>
                    <w:jc w:val="center"/>
                    <w:textAlignment w:val="center"/>
                    <w:rPr>
                      <w:bCs/>
                      <w:sz w:val="18"/>
                      <w:szCs w:val="18"/>
                    </w:rPr>
                  </w:pPr>
                  <w:r>
                    <w:rPr>
                      <w:bCs/>
                      <w:sz w:val="18"/>
                      <w:szCs w:val="18"/>
                    </w:rPr>
                    <w:t>（t/a）</w:t>
                  </w:r>
                </w:p>
              </w:tc>
              <w:tc>
                <w:tcPr>
                  <w:tcW w:w="883" w:type="dxa"/>
                  <w:noWrap w:val="0"/>
                  <w:vAlign w:val="center"/>
                </w:tcPr>
                <w:p>
                  <w:pPr>
                    <w:jc w:val="center"/>
                    <w:textAlignment w:val="center"/>
                    <w:rPr>
                      <w:bCs/>
                      <w:sz w:val="18"/>
                      <w:szCs w:val="18"/>
                    </w:rPr>
                  </w:pPr>
                  <w:r>
                    <w:rPr>
                      <w:bCs/>
                      <w:sz w:val="18"/>
                      <w:szCs w:val="18"/>
                    </w:rPr>
                    <w:t>浓度</w:t>
                  </w:r>
                </w:p>
                <w:p>
                  <w:pPr>
                    <w:jc w:val="center"/>
                    <w:textAlignment w:val="center"/>
                    <w:rPr>
                      <w:bCs/>
                      <w:spacing w:val="-12"/>
                      <w:sz w:val="18"/>
                      <w:szCs w:val="18"/>
                    </w:rPr>
                  </w:pPr>
                  <w:r>
                    <w:rPr>
                      <w:bCs/>
                      <w:spacing w:val="-12"/>
                      <w:sz w:val="18"/>
                      <w:szCs w:val="18"/>
                    </w:rPr>
                    <w:t>（mg/m</w:t>
                  </w:r>
                  <w:r>
                    <w:rPr>
                      <w:bCs/>
                      <w:spacing w:val="-12"/>
                      <w:sz w:val="18"/>
                      <w:szCs w:val="18"/>
                      <w:vertAlign w:val="superscript"/>
                    </w:rPr>
                    <w:t>3</w:t>
                  </w:r>
                  <w:r>
                    <w:rPr>
                      <w:bCs/>
                      <w:spacing w:val="-12"/>
                      <w:sz w:val="18"/>
                      <w:szCs w:val="18"/>
                    </w:rPr>
                    <w:t>）</w:t>
                  </w:r>
                </w:p>
              </w:tc>
              <w:tc>
                <w:tcPr>
                  <w:tcW w:w="533" w:type="dxa"/>
                  <w:noWrap w:val="0"/>
                  <w:tcMar>
                    <w:top w:w="15" w:type="dxa"/>
                    <w:left w:w="15" w:type="dxa"/>
                    <w:bottom w:w="15" w:type="dxa"/>
                    <w:right w:w="15" w:type="dxa"/>
                  </w:tcMar>
                  <w:vAlign w:val="center"/>
                </w:tcPr>
                <w:p>
                  <w:pPr>
                    <w:jc w:val="center"/>
                    <w:textAlignment w:val="center"/>
                    <w:rPr>
                      <w:bCs/>
                      <w:sz w:val="18"/>
                      <w:szCs w:val="18"/>
                    </w:rPr>
                  </w:pPr>
                  <w:r>
                    <w:rPr>
                      <w:bCs/>
                      <w:sz w:val="18"/>
                      <w:szCs w:val="18"/>
                    </w:rPr>
                    <w:t>速率</w:t>
                  </w:r>
                </w:p>
                <w:p>
                  <w:pPr>
                    <w:jc w:val="center"/>
                    <w:textAlignment w:val="center"/>
                    <w:rPr>
                      <w:bCs/>
                      <w:sz w:val="18"/>
                      <w:szCs w:val="18"/>
                    </w:rPr>
                  </w:pPr>
                  <w:r>
                    <w:rPr>
                      <w:bCs/>
                      <w:sz w:val="18"/>
                      <w:szCs w:val="18"/>
                    </w:rPr>
                    <w:t>（kg/h）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541" w:hRule="atLeast"/>
                <w:jc w:val="center"/>
              </w:trPr>
              <w:tc>
                <w:tcPr>
                  <w:tcW w:w="408" w:type="dxa"/>
                  <w:vMerge w:val="restart"/>
                  <w:noWrap w:val="0"/>
                  <w:tcMar>
                    <w:top w:w="15" w:type="dxa"/>
                    <w:left w:w="15" w:type="dxa"/>
                    <w:bottom w:w="15" w:type="dxa"/>
                    <w:right w:w="15" w:type="dxa"/>
                  </w:tcMar>
                  <w:vAlign w:val="center"/>
                </w:tcPr>
                <w:p>
                  <w:pPr>
                    <w:jc w:val="center"/>
                    <w:textAlignment w:val="center"/>
                    <w:rPr>
                      <w:bCs/>
                      <w:sz w:val="18"/>
                      <w:szCs w:val="18"/>
                    </w:rPr>
                  </w:pPr>
                  <w:r>
                    <w:rPr>
                      <w:bCs/>
                      <w:sz w:val="18"/>
                      <w:szCs w:val="18"/>
                    </w:rPr>
                    <w:t>污水处理站</w:t>
                  </w:r>
                </w:p>
              </w:tc>
              <w:tc>
                <w:tcPr>
                  <w:tcW w:w="569" w:type="dxa"/>
                  <w:noWrap w:val="0"/>
                  <w:tcMar>
                    <w:top w:w="15" w:type="dxa"/>
                    <w:left w:w="15" w:type="dxa"/>
                    <w:bottom w:w="15" w:type="dxa"/>
                    <w:right w:w="15" w:type="dxa"/>
                  </w:tcMar>
                  <w:vAlign w:val="center"/>
                </w:tcPr>
                <w:p>
                  <w:pPr>
                    <w:jc w:val="center"/>
                    <w:textAlignment w:val="center"/>
                    <w:rPr>
                      <w:bCs/>
                      <w:sz w:val="18"/>
                      <w:szCs w:val="18"/>
                    </w:rPr>
                  </w:pPr>
                  <w:r>
                    <w:rPr>
                      <w:bCs/>
                      <w:sz w:val="18"/>
                      <w:szCs w:val="18"/>
                    </w:rPr>
                    <w:t>NH</w:t>
                  </w:r>
                  <w:r>
                    <w:rPr>
                      <w:bCs/>
                      <w:sz w:val="18"/>
                      <w:szCs w:val="18"/>
                      <w:vertAlign w:val="subscript"/>
                    </w:rPr>
                    <w:t>3</w:t>
                  </w:r>
                </w:p>
              </w:tc>
              <w:tc>
                <w:tcPr>
                  <w:tcW w:w="827" w:type="dxa"/>
                  <w:noWrap w:val="0"/>
                  <w:tcMar>
                    <w:top w:w="15" w:type="dxa"/>
                    <w:left w:w="15" w:type="dxa"/>
                    <w:bottom w:w="15" w:type="dxa"/>
                    <w:right w:w="15" w:type="dxa"/>
                  </w:tcMar>
                  <w:vAlign w:val="center"/>
                </w:tcPr>
                <w:p>
                  <w:pPr>
                    <w:jc w:val="center"/>
                    <w:textAlignment w:val="center"/>
                    <w:rPr>
                      <w:bCs/>
                      <w:sz w:val="18"/>
                      <w:szCs w:val="18"/>
                    </w:rPr>
                  </w:pPr>
                  <w:r>
                    <w:rPr>
                      <w:bCs/>
                      <w:sz w:val="18"/>
                      <w:szCs w:val="18"/>
                    </w:rPr>
                    <w:t>/</w:t>
                  </w:r>
                </w:p>
              </w:tc>
              <w:tc>
                <w:tcPr>
                  <w:tcW w:w="661" w:type="dxa"/>
                  <w:noWrap w:val="0"/>
                  <w:tcMar>
                    <w:top w:w="15" w:type="dxa"/>
                    <w:left w:w="15" w:type="dxa"/>
                    <w:bottom w:w="15" w:type="dxa"/>
                    <w:right w:w="15" w:type="dxa"/>
                  </w:tcMar>
                  <w:vAlign w:val="center"/>
                </w:tcPr>
                <w:p>
                  <w:pPr>
                    <w:jc w:val="center"/>
                    <w:textAlignment w:val="center"/>
                    <w:rPr>
                      <w:rFonts w:hint="default" w:eastAsia="宋体"/>
                      <w:bCs/>
                      <w:sz w:val="18"/>
                      <w:szCs w:val="18"/>
                      <w:lang w:val="en-US" w:eastAsia="zh-CN"/>
                    </w:rPr>
                  </w:pPr>
                  <w:r>
                    <w:rPr>
                      <w:rFonts w:hint="eastAsia"/>
                      <w:bCs/>
                      <w:sz w:val="18"/>
                      <w:szCs w:val="18"/>
                      <w:lang w:val="en-US" w:eastAsia="zh-CN"/>
                    </w:rPr>
                    <w:t>0.0008</w:t>
                  </w:r>
                </w:p>
              </w:tc>
              <w:tc>
                <w:tcPr>
                  <w:tcW w:w="633" w:type="dxa"/>
                  <w:noWrap w:val="0"/>
                  <w:tcMar>
                    <w:top w:w="15" w:type="dxa"/>
                    <w:left w:w="15" w:type="dxa"/>
                    <w:bottom w:w="15" w:type="dxa"/>
                    <w:right w:w="15" w:type="dxa"/>
                  </w:tcMar>
                  <w:vAlign w:val="center"/>
                </w:tcPr>
                <w:p>
                  <w:pPr>
                    <w:jc w:val="center"/>
                    <w:textAlignment w:val="center"/>
                    <w:rPr>
                      <w:rFonts w:hint="default" w:eastAsia="宋体"/>
                      <w:bCs/>
                      <w:sz w:val="18"/>
                      <w:szCs w:val="18"/>
                      <w:lang w:val="en-US" w:eastAsia="zh-CN"/>
                    </w:rPr>
                  </w:pPr>
                  <w:r>
                    <w:rPr>
                      <w:rFonts w:hint="eastAsia"/>
                      <w:bCs/>
                      <w:sz w:val="18"/>
                      <w:szCs w:val="18"/>
                      <w:lang w:val="en-US" w:eastAsia="zh-CN"/>
                    </w:rPr>
                    <w:t>0.002</w:t>
                  </w:r>
                </w:p>
              </w:tc>
              <w:tc>
                <w:tcPr>
                  <w:tcW w:w="779" w:type="dxa"/>
                  <w:vMerge w:val="restart"/>
                  <w:noWrap w:val="0"/>
                  <w:tcMar>
                    <w:top w:w="15" w:type="dxa"/>
                    <w:left w:w="15" w:type="dxa"/>
                    <w:bottom w:w="15" w:type="dxa"/>
                    <w:right w:w="15" w:type="dxa"/>
                  </w:tcMar>
                  <w:vAlign w:val="center"/>
                </w:tcPr>
                <w:p>
                  <w:pPr>
                    <w:jc w:val="center"/>
                    <w:textAlignment w:val="center"/>
                    <w:rPr>
                      <w:rFonts w:hint="eastAsia"/>
                      <w:bCs/>
                      <w:sz w:val="18"/>
                      <w:szCs w:val="18"/>
                    </w:rPr>
                  </w:pPr>
                  <w:r>
                    <w:rPr>
                      <w:rFonts w:hint="eastAsia"/>
                      <w:bCs/>
                      <w:sz w:val="18"/>
                      <w:szCs w:val="18"/>
                    </w:rPr>
                    <w:t>无组织</w:t>
                  </w:r>
                </w:p>
              </w:tc>
              <w:tc>
                <w:tcPr>
                  <w:tcW w:w="970" w:type="dxa"/>
                  <w:noWrap w:val="0"/>
                  <w:vAlign w:val="center"/>
                </w:tcPr>
                <w:p>
                  <w:pPr>
                    <w:jc w:val="center"/>
                    <w:textAlignment w:val="center"/>
                    <w:rPr>
                      <w:bCs/>
                      <w:sz w:val="18"/>
                      <w:szCs w:val="18"/>
                    </w:rPr>
                  </w:pPr>
                  <w:r>
                    <w:rPr>
                      <w:bCs/>
                      <w:sz w:val="18"/>
                      <w:szCs w:val="18"/>
                    </w:rPr>
                    <w:t>/</w:t>
                  </w:r>
                </w:p>
              </w:tc>
              <w:tc>
                <w:tcPr>
                  <w:tcW w:w="868" w:type="dxa"/>
                  <w:noWrap w:val="0"/>
                  <w:vAlign w:val="center"/>
                </w:tcPr>
                <w:p>
                  <w:pPr>
                    <w:jc w:val="center"/>
                    <w:textAlignment w:val="center"/>
                    <w:rPr>
                      <w:bCs/>
                      <w:sz w:val="18"/>
                      <w:szCs w:val="18"/>
                    </w:rPr>
                  </w:pPr>
                  <w:r>
                    <w:rPr>
                      <w:rFonts w:hint="eastAsia"/>
                      <w:bCs/>
                      <w:sz w:val="18"/>
                      <w:szCs w:val="18"/>
                      <w:lang w:val="en-US" w:eastAsia="zh-CN"/>
                    </w:rPr>
                    <w:t>0.0008</w:t>
                  </w:r>
                </w:p>
              </w:tc>
              <w:tc>
                <w:tcPr>
                  <w:tcW w:w="765" w:type="dxa"/>
                  <w:noWrap w:val="0"/>
                  <w:vAlign w:val="center"/>
                </w:tcPr>
                <w:p>
                  <w:pPr>
                    <w:jc w:val="center"/>
                    <w:textAlignment w:val="center"/>
                    <w:rPr>
                      <w:bCs/>
                      <w:sz w:val="18"/>
                      <w:szCs w:val="18"/>
                    </w:rPr>
                  </w:pPr>
                  <w:r>
                    <w:rPr>
                      <w:rFonts w:hint="eastAsia"/>
                      <w:bCs/>
                      <w:sz w:val="18"/>
                      <w:szCs w:val="18"/>
                      <w:lang w:val="en-US" w:eastAsia="zh-CN"/>
                    </w:rPr>
                    <w:t>0.002</w:t>
                  </w:r>
                </w:p>
              </w:tc>
              <w:tc>
                <w:tcPr>
                  <w:tcW w:w="883" w:type="dxa"/>
                  <w:noWrap w:val="0"/>
                  <w:vAlign w:val="center"/>
                </w:tcPr>
                <w:p>
                  <w:pPr>
                    <w:jc w:val="center"/>
                    <w:rPr>
                      <w:bCs/>
                      <w:spacing w:val="-12"/>
                      <w:sz w:val="18"/>
                      <w:szCs w:val="18"/>
                    </w:rPr>
                  </w:pPr>
                  <w:r>
                    <w:rPr>
                      <w:sz w:val="18"/>
                      <w:szCs w:val="18"/>
                    </w:rPr>
                    <w:t>1.5</w:t>
                  </w:r>
                </w:p>
              </w:tc>
              <w:tc>
                <w:tcPr>
                  <w:tcW w:w="533" w:type="dxa"/>
                  <w:noWrap w:val="0"/>
                  <w:tcMar>
                    <w:top w:w="15" w:type="dxa"/>
                    <w:left w:w="15" w:type="dxa"/>
                    <w:bottom w:w="15" w:type="dxa"/>
                    <w:right w:w="15" w:type="dxa"/>
                  </w:tcMar>
                  <w:vAlign w:val="center"/>
                </w:tcPr>
                <w:p>
                  <w:pPr>
                    <w:jc w:val="center"/>
                    <w:textAlignment w:val="center"/>
                    <w:rPr>
                      <w:bCs/>
                      <w:sz w:val="18"/>
                      <w:szCs w:val="18"/>
                    </w:rPr>
                  </w:pPr>
                  <w:r>
                    <w:rPr>
                      <w:bCs/>
                      <w:sz w:val="18"/>
                      <w:szCs w:val="18"/>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571" w:hRule="atLeast"/>
                <w:jc w:val="center"/>
              </w:trPr>
              <w:tc>
                <w:tcPr>
                  <w:tcW w:w="408" w:type="dxa"/>
                  <w:vMerge w:val="continue"/>
                  <w:noWrap w:val="0"/>
                  <w:tcMar>
                    <w:top w:w="15" w:type="dxa"/>
                    <w:left w:w="15" w:type="dxa"/>
                    <w:bottom w:w="15" w:type="dxa"/>
                    <w:right w:w="15" w:type="dxa"/>
                  </w:tcMar>
                  <w:vAlign w:val="center"/>
                </w:tcPr>
                <w:p>
                  <w:pPr>
                    <w:jc w:val="center"/>
                    <w:textAlignment w:val="center"/>
                    <w:rPr>
                      <w:bCs/>
                      <w:sz w:val="18"/>
                      <w:szCs w:val="18"/>
                    </w:rPr>
                  </w:pPr>
                </w:p>
              </w:tc>
              <w:tc>
                <w:tcPr>
                  <w:tcW w:w="569" w:type="dxa"/>
                  <w:noWrap w:val="0"/>
                  <w:tcMar>
                    <w:top w:w="15" w:type="dxa"/>
                    <w:left w:w="15" w:type="dxa"/>
                    <w:bottom w:w="15" w:type="dxa"/>
                    <w:right w:w="15" w:type="dxa"/>
                  </w:tcMar>
                  <w:vAlign w:val="center"/>
                </w:tcPr>
                <w:p>
                  <w:pPr>
                    <w:jc w:val="center"/>
                    <w:textAlignment w:val="center"/>
                    <w:rPr>
                      <w:bCs/>
                      <w:sz w:val="18"/>
                      <w:szCs w:val="18"/>
                    </w:rPr>
                  </w:pPr>
                  <w:r>
                    <w:rPr>
                      <w:bCs/>
                      <w:sz w:val="18"/>
                      <w:szCs w:val="18"/>
                    </w:rPr>
                    <w:t>H</w:t>
                  </w:r>
                  <w:r>
                    <w:rPr>
                      <w:bCs/>
                      <w:sz w:val="18"/>
                      <w:szCs w:val="18"/>
                      <w:vertAlign w:val="subscript"/>
                    </w:rPr>
                    <w:t>2</w:t>
                  </w:r>
                  <w:r>
                    <w:rPr>
                      <w:bCs/>
                      <w:sz w:val="18"/>
                      <w:szCs w:val="18"/>
                    </w:rPr>
                    <w:t>S</w:t>
                  </w:r>
                </w:p>
              </w:tc>
              <w:tc>
                <w:tcPr>
                  <w:tcW w:w="827" w:type="dxa"/>
                  <w:noWrap w:val="0"/>
                  <w:tcMar>
                    <w:top w:w="15" w:type="dxa"/>
                    <w:left w:w="15" w:type="dxa"/>
                    <w:bottom w:w="15" w:type="dxa"/>
                    <w:right w:w="15" w:type="dxa"/>
                  </w:tcMar>
                  <w:vAlign w:val="center"/>
                </w:tcPr>
                <w:p>
                  <w:pPr>
                    <w:jc w:val="center"/>
                    <w:textAlignment w:val="center"/>
                    <w:rPr>
                      <w:bCs/>
                      <w:sz w:val="18"/>
                      <w:szCs w:val="18"/>
                    </w:rPr>
                  </w:pPr>
                  <w:r>
                    <w:rPr>
                      <w:bCs/>
                      <w:sz w:val="18"/>
                      <w:szCs w:val="18"/>
                    </w:rPr>
                    <w:t>/</w:t>
                  </w:r>
                </w:p>
              </w:tc>
              <w:tc>
                <w:tcPr>
                  <w:tcW w:w="661" w:type="dxa"/>
                  <w:noWrap w:val="0"/>
                  <w:tcMar>
                    <w:top w:w="15" w:type="dxa"/>
                    <w:left w:w="15" w:type="dxa"/>
                    <w:bottom w:w="15" w:type="dxa"/>
                    <w:right w:w="15" w:type="dxa"/>
                  </w:tcMar>
                  <w:vAlign w:val="center"/>
                </w:tcPr>
                <w:p>
                  <w:pPr>
                    <w:jc w:val="center"/>
                    <w:textAlignment w:val="center"/>
                    <w:rPr>
                      <w:rFonts w:hint="default" w:eastAsia="宋体"/>
                      <w:bCs/>
                      <w:sz w:val="18"/>
                      <w:szCs w:val="18"/>
                      <w:lang w:val="en-US" w:eastAsia="zh-CN"/>
                    </w:rPr>
                  </w:pPr>
                  <w:r>
                    <w:rPr>
                      <w:bCs/>
                      <w:sz w:val="18"/>
                      <w:szCs w:val="18"/>
                    </w:rPr>
                    <w:t>0.000</w:t>
                  </w:r>
                  <w:r>
                    <w:rPr>
                      <w:rFonts w:hint="eastAsia"/>
                      <w:bCs/>
                      <w:sz w:val="18"/>
                      <w:szCs w:val="18"/>
                      <w:lang w:val="en-US" w:eastAsia="zh-CN"/>
                    </w:rPr>
                    <w:t>03</w:t>
                  </w:r>
                </w:p>
              </w:tc>
              <w:tc>
                <w:tcPr>
                  <w:tcW w:w="633" w:type="dxa"/>
                  <w:noWrap w:val="0"/>
                  <w:tcMar>
                    <w:top w:w="15" w:type="dxa"/>
                    <w:left w:w="15" w:type="dxa"/>
                    <w:bottom w:w="15" w:type="dxa"/>
                    <w:right w:w="15" w:type="dxa"/>
                  </w:tcMar>
                  <w:vAlign w:val="center"/>
                </w:tcPr>
                <w:p>
                  <w:pPr>
                    <w:jc w:val="center"/>
                    <w:textAlignment w:val="center"/>
                    <w:rPr>
                      <w:rFonts w:hint="default" w:eastAsia="宋体"/>
                      <w:bCs/>
                      <w:sz w:val="18"/>
                      <w:szCs w:val="18"/>
                      <w:lang w:val="en-US" w:eastAsia="zh-CN"/>
                    </w:rPr>
                  </w:pPr>
                  <w:r>
                    <w:rPr>
                      <w:rFonts w:hint="eastAsia"/>
                      <w:bCs/>
                      <w:sz w:val="18"/>
                      <w:szCs w:val="18"/>
                    </w:rPr>
                    <w:t>0.000</w:t>
                  </w:r>
                  <w:r>
                    <w:rPr>
                      <w:rFonts w:hint="eastAsia"/>
                      <w:bCs/>
                      <w:sz w:val="18"/>
                      <w:szCs w:val="18"/>
                      <w:lang w:val="en-US" w:eastAsia="zh-CN"/>
                    </w:rPr>
                    <w:t>06</w:t>
                  </w:r>
                </w:p>
              </w:tc>
              <w:tc>
                <w:tcPr>
                  <w:tcW w:w="779" w:type="dxa"/>
                  <w:vMerge w:val="continue"/>
                  <w:noWrap w:val="0"/>
                  <w:tcMar>
                    <w:top w:w="15" w:type="dxa"/>
                    <w:left w:w="15" w:type="dxa"/>
                    <w:bottom w:w="15" w:type="dxa"/>
                    <w:right w:w="15" w:type="dxa"/>
                  </w:tcMar>
                  <w:vAlign w:val="center"/>
                </w:tcPr>
                <w:p>
                  <w:pPr>
                    <w:jc w:val="center"/>
                    <w:textAlignment w:val="center"/>
                    <w:rPr>
                      <w:bCs/>
                      <w:sz w:val="18"/>
                      <w:szCs w:val="18"/>
                    </w:rPr>
                  </w:pPr>
                </w:p>
              </w:tc>
              <w:tc>
                <w:tcPr>
                  <w:tcW w:w="970" w:type="dxa"/>
                  <w:noWrap w:val="0"/>
                  <w:vAlign w:val="center"/>
                </w:tcPr>
                <w:p>
                  <w:pPr>
                    <w:jc w:val="center"/>
                    <w:textAlignment w:val="center"/>
                    <w:rPr>
                      <w:bCs/>
                      <w:sz w:val="18"/>
                      <w:szCs w:val="18"/>
                    </w:rPr>
                  </w:pPr>
                  <w:r>
                    <w:rPr>
                      <w:bCs/>
                      <w:sz w:val="18"/>
                      <w:szCs w:val="18"/>
                    </w:rPr>
                    <w:t>/</w:t>
                  </w:r>
                </w:p>
              </w:tc>
              <w:tc>
                <w:tcPr>
                  <w:tcW w:w="868" w:type="dxa"/>
                  <w:noWrap w:val="0"/>
                  <w:vAlign w:val="center"/>
                </w:tcPr>
                <w:p>
                  <w:pPr>
                    <w:jc w:val="center"/>
                    <w:textAlignment w:val="center"/>
                    <w:rPr>
                      <w:bCs/>
                      <w:sz w:val="18"/>
                      <w:szCs w:val="18"/>
                    </w:rPr>
                  </w:pPr>
                  <w:r>
                    <w:rPr>
                      <w:bCs/>
                      <w:sz w:val="18"/>
                      <w:szCs w:val="18"/>
                    </w:rPr>
                    <w:t>0.000</w:t>
                  </w:r>
                  <w:r>
                    <w:rPr>
                      <w:rFonts w:hint="eastAsia"/>
                      <w:bCs/>
                      <w:sz w:val="18"/>
                      <w:szCs w:val="18"/>
                      <w:lang w:val="en-US" w:eastAsia="zh-CN"/>
                    </w:rPr>
                    <w:t>03</w:t>
                  </w:r>
                </w:p>
              </w:tc>
              <w:tc>
                <w:tcPr>
                  <w:tcW w:w="765" w:type="dxa"/>
                  <w:noWrap w:val="0"/>
                  <w:vAlign w:val="center"/>
                </w:tcPr>
                <w:p>
                  <w:pPr>
                    <w:jc w:val="center"/>
                    <w:textAlignment w:val="center"/>
                    <w:rPr>
                      <w:bCs/>
                      <w:sz w:val="18"/>
                      <w:szCs w:val="18"/>
                    </w:rPr>
                  </w:pPr>
                  <w:r>
                    <w:rPr>
                      <w:rFonts w:hint="eastAsia"/>
                      <w:bCs/>
                      <w:sz w:val="18"/>
                      <w:szCs w:val="18"/>
                    </w:rPr>
                    <w:t>0.000</w:t>
                  </w:r>
                  <w:r>
                    <w:rPr>
                      <w:rFonts w:hint="eastAsia"/>
                      <w:bCs/>
                      <w:sz w:val="18"/>
                      <w:szCs w:val="18"/>
                      <w:lang w:val="en-US" w:eastAsia="zh-CN"/>
                    </w:rPr>
                    <w:t>06</w:t>
                  </w:r>
                </w:p>
              </w:tc>
              <w:tc>
                <w:tcPr>
                  <w:tcW w:w="883" w:type="dxa"/>
                  <w:noWrap w:val="0"/>
                  <w:vAlign w:val="center"/>
                </w:tcPr>
                <w:p>
                  <w:pPr>
                    <w:jc w:val="center"/>
                    <w:rPr>
                      <w:bCs/>
                      <w:spacing w:val="-12"/>
                      <w:sz w:val="18"/>
                      <w:szCs w:val="18"/>
                    </w:rPr>
                  </w:pPr>
                  <w:r>
                    <w:rPr>
                      <w:sz w:val="18"/>
                      <w:szCs w:val="18"/>
                    </w:rPr>
                    <w:t>0.06</w:t>
                  </w:r>
                </w:p>
              </w:tc>
              <w:tc>
                <w:tcPr>
                  <w:tcW w:w="533" w:type="dxa"/>
                  <w:noWrap w:val="0"/>
                  <w:tcMar>
                    <w:top w:w="15" w:type="dxa"/>
                    <w:left w:w="15" w:type="dxa"/>
                    <w:bottom w:w="15" w:type="dxa"/>
                    <w:right w:w="15" w:type="dxa"/>
                  </w:tcMar>
                  <w:vAlign w:val="center"/>
                </w:tcPr>
                <w:p>
                  <w:pPr>
                    <w:jc w:val="center"/>
                    <w:textAlignment w:val="center"/>
                    <w:rPr>
                      <w:bCs/>
                      <w:sz w:val="18"/>
                      <w:szCs w:val="18"/>
                    </w:rPr>
                  </w:pPr>
                  <w:r>
                    <w:rPr>
                      <w:bCs/>
                      <w:sz w:val="18"/>
                      <w:szCs w:val="18"/>
                    </w:rPr>
                    <w:t>/</w:t>
                  </w:r>
                </w:p>
              </w:tc>
            </w:tr>
          </w:tbl>
          <w:p>
            <w:pPr>
              <w:spacing w:line="360" w:lineRule="auto"/>
              <w:ind w:firstLine="422" w:firstLineChars="200"/>
              <w:jc w:val="left"/>
              <w:rPr>
                <w:rFonts w:hint="eastAsia"/>
                <w:b/>
                <w:bCs/>
              </w:rPr>
            </w:pPr>
            <w:r>
              <w:rPr>
                <w:rFonts w:hint="eastAsia"/>
                <w:b/>
                <w:bCs/>
              </w:rPr>
              <w:t>1、废气污染物排放源源强核算过程</w:t>
            </w:r>
          </w:p>
          <w:p>
            <w:pPr>
              <w:adjustRightInd w:val="0"/>
              <w:snapToGrid w:val="0"/>
              <w:spacing w:line="500" w:lineRule="exact"/>
              <w:ind w:firstLine="420" w:firstLineChars="200"/>
              <w:rPr>
                <w:rFonts w:hint="eastAsia"/>
                <w:lang w:eastAsia="zh-CN"/>
              </w:rPr>
            </w:pPr>
            <w:r>
              <w:rPr>
                <w:rFonts w:hint="eastAsia"/>
                <w:bCs/>
                <w:szCs w:val="21"/>
              </w:rPr>
              <w:t>（1）</w:t>
            </w:r>
            <w:r>
              <w:rPr>
                <w:rFonts w:hint="eastAsia"/>
                <w:bCs/>
                <w:szCs w:val="21"/>
                <w:lang w:eastAsia="zh-CN"/>
              </w:rPr>
              <w:t>烘干废气</w:t>
            </w:r>
          </w:p>
          <w:p>
            <w:pPr>
              <w:adjustRightInd w:val="0"/>
              <w:snapToGrid w:val="0"/>
              <w:spacing w:line="500" w:lineRule="exact"/>
              <w:ind w:firstLine="420" w:firstLineChars="200"/>
              <w:rPr>
                <w:rFonts w:hint="eastAsia"/>
                <w:bCs/>
                <w:szCs w:val="21"/>
                <w:lang w:eastAsia="zh-CN"/>
              </w:rPr>
            </w:pPr>
            <w:r>
              <w:rPr>
                <w:rFonts w:hint="eastAsia"/>
                <w:bCs/>
                <w:szCs w:val="21"/>
                <w:lang w:eastAsia="zh-CN"/>
              </w:rPr>
              <w:t>半成品在烘干过程中，衣物表面的纤维因烘干机的机械作用脱落形成颗粒物，同排放量极少，对环境影响很小，因此本报告不进行定量计算。</w:t>
            </w:r>
          </w:p>
          <w:p>
            <w:pPr>
              <w:adjustRightInd w:val="0"/>
              <w:snapToGrid w:val="0"/>
              <w:spacing w:line="500" w:lineRule="exact"/>
              <w:ind w:firstLine="420" w:firstLineChars="200"/>
              <w:rPr>
                <w:rFonts w:hint="eastAsia"/>
                <w:bCs/>
                <w:szCs w:val="21"/>
              </w:rPr>
            </w:pPr>
            <w:r>
              <w:rPr>
                <w:rFonts w:hint="eastAsia"/>
                <w:bCs/>
                <w:szCs w:val="21"/>
                <w:lang w:eastAsia="zh-CN"/>
              </w:rPr>
              <w:t>（</w:t>
            </w:r>
            <w:r>
              <w:rPr>
                <w:rFonts w:hint="eastAsia"/>
                <w:bCs/>
                <w:szCs w:val="21"/>
                <w:lang w:val="en-US" w:eastAsia="zh-CN"/>
              </w:rPr>
              <w:t>2</w:t>
            </w:r>
            <w:r>
              <w:rPr>
                <w:rFonts w:hint="eastAsia"/>
                <w:bCs/>
                <w:szCs w:val="21"/>
                <w:lang w:eastAsia="zh-CN"/>
              </w:rPr>
              <w:t>）</w:t>
            </w:r>
            <w:r>
              <w:rPr>
                <w:rFonts w:hint="eastAsia"/>
                <w:bCs/>
                <w:szCs w:val="21"/>
              </w:rPr>
              <w:t>污水处理站恶臭</w:t>
            </w:r>
          </w:p>
          <w:p>
            <w:pPr>
              <w:adjustRightInd w:val="0"/>
              <w:snapToGrid w:val="0"/>
              <w:spacing w:line="500" w:lineRule="exact"/>
              <w:ind w:firstLine="420" w:firstLineChars="200"/>
              <w:rPr>
                <w:bCs/>
                <w:color w:val="auto"/>
                <w:szCs w:val="21"/>
              </w:rPr>
            </w:pPr>
            <w:r>
              <w:rPr>
                <w:rFonts w:hint="eastAsia"/>
                <w:bCs/>
                <w:color w:val="auto"/>
                <w:szCs w:val="21"/>
              </w:rPr>
              <w:t>本项目自采用一体化污水处理设施，运行时会产生少量硫化氢、氨等，污水处理站产臭环节加盖密闭，可通过周边种植树木吸收后无组织排放，本项目采用美国EPA对处理厂恶臭污染物产生情况的研究，每处理1g的BOD</w:t>
            </w:r>
            <w:r>
              <w:rPr>
                <w:rFonts w:hint="eastAsia"/>
                <w:bCs/>
                <w:color w:val="auto"/>
                <w:szCs w:val="21"/>
                <w:vertAlign w:val="subscript"/>
              </w:rPr>
              <w:t>5</w:t>
            </w:r>
            <w:r>
              <w:rPr>
                <w:rFonts w:hint="eastAsia"/>
                <w:bCs/>
                <w:color w:val="auto"/>
                <w:szCs w:val="21"/>
              </w:rPr>
              <w:t>可产生0.0031g的NH</w:t>
            </w:r>
            <w:r>
              <w:rPr>
                <w:rFonts w:hint="eastAsia"/>
                <w:bCs/>
                <w:color w:val="auto"/>
                <w:szCs w:val="21"/>
                <w:vertAlign w:val="subscript"/>
              </w:rPr>
              <w:t>3</w:t>
            </w:r>
            <w:r>
              <w:rPr>
                <w:rFonts w:hint="eastAsia"/>
                <w:bCs/>
                <w:color w:val="auto"/>
                <w:szCs w:val="21"/>
              </w:rPr>
              <w:t>、0.00012g的H</w:t>
            </w:r>
            <w:r>
              <w:rPr>
                <w:rFonts w:hint="eastAsia"/>
                <w:bCs/>
                <w:color w:val="auto"/>
                <w:szCs w:val="21"/>
                <w:vertAlign w:val="subscript"/>
              </w:rPr>
              <w:t>2</w:t>
            </w:r>
            <w:r>
              <w:rPr>
                <w:rFonts w:hint="eastAsia"/>
                <w:bCs/>
                <w:color w:val="auto"/>
                <w:szCs w:val="21"/>
              </w:rPr>
              <w:t>S，项目年处理生产废水</w:t>
            </w:r>
            <w:r>
              <w:rPr>
                <w:rFonts w:hint="eastAsia"/>
                <w:bCs/>
                <w:color w:val="auto"/>
                <w:szCs w:val="21"/>
                <w:lang w:val="en-US" w:eastAsia="zh-CN"/>
              </w:rPr>
              <w:t>1601</w:t>
            </w:r>
            <w:r>
              <w:rPr>
                <w:rFonts w:hint="eastAsia"/>
                <w:bCs/>
                <w:color w:val="auto"/>
                <w:szCs w:val="21"/>
              </w:rPr>
              <w:t>t/a，年处理</w:t>
            </w:r>
            <w:r>
              <w:rPr>
                <w:rFonts w:hint="eastAsia"/>
                <w:bCs/>
                <w:color w:val="auto"/>
                <w:szCs w:val="21"/>
                <w:lang w:val="en-US" w:eastAsia="zh-CN"/>
              </w:rPr>
              <w:t>0.5406</w:t>
            </w:r>
            <w:r>
              <w:rPr>
                <w:rFonts w:hint="eastAsia"/>
                <w:bCs/>
                <w:color w:val="auto"/>
                <w:szCs w:val="21"/>
              </w:rPr>
              <w:t>tBOD</w:t>
            </w:r>
            <w:r>
              <w:rPr>
                <w:rFonts w:hint="eastAsia"/>
                <w:bCs/>
                <w:color w:val="auto"/>
                <w:szCs w:val="21"/>
                <w:vertAlign w:val="subscript"/>
              </w:rPr>
              <w:t>5</w:t>
            </w:r>
            <w:r>
              <w:rPr>
                <w:rFonts w:hint="eastAsia"/>
                <w:bCs/>
                <w:color w:val="auto"/>
                <w:szCs w:val="21"/>
              </w:rPr>
              <w:t>、则NH</w:t>
            </w:r>
            <w:r>
              <w:rPr>
                <w:rFonts w:hint="eastAsia"/>
                <w:bCs/>
                <w:color w:val="auto"/>
                <w:szCs w:val="21"/>
                <w:vertAlign w:val="subscript"/>
              </w:rPr>
              <w:t>3</w:t>
            </w:r>
            <w:r>
              <w:rPr>
                <w:rFonts w:hint="eastAsia"/>
                <w:bCs/>
                <w:color w:val="auto"/>
                <w:szCs w:val="21"/>
              </w:rPr>
              <w:t>产生量为</w:t>
            </w:r>
            <w:r>
              <w:rPr>
                <w:rFonts w:hint="eastAsia"/>
                <w:bCs/>
                <w:color w:val="auto"/>
                <w:szCs w:val="21"/>
                <w:lang w:val="en-US" w:eastAsia="zh-CN"/>
              </w:rPr>
              <w:t>0.002</w:t>
            </w:r>
            <w:r>
              <w:rPr>
                <w:rFonts w:hint="eastAsia"/>
                <w:bCs/>
                <w:color w:val="auto"/>
                <w:szCs w:val="21"/>
              </w:rPr>
              <w:t>t/a，H</w:t>
            </w:r>
            <w:r>
              <w:rPr>
                <w:rFonts w:hint="eastAsia"/>
                <w:bCs/>
                <w:color w:val="auto"/>
                <w:szCs w:val="21"/>
                <w:vertAlign w:val="subscript"/>
              </w:rPr>
              <w:t>2</w:t>
            </w:r>
            <w:r>
              <w:rPr>
                <w:rFonts w:hint="eastAsia"/>
                <w:bCs/>
                <w:color w:val="auto"/>
                <w:szCs w:val="21"/>
              </w:rPr>
              <w:t>S产生量为</w:t>
            </w:r>
            <w:r>
              <w:rPr>
                <w:rFonts w:hint="eastAsia"/>
                <w:bCs/>
                <w:color w:val="auto"/>
                <w:szCs w:val="21"/>
                <w:lang w:val="en-US" w:eastAsia="zh-CN"/>
              </w:rPr>
              <w:t>0.00006</w:t>
            </w:r>
            <w:r>
              <w:rPr>
                <w:rFonts w:hint="eastAsia"/>
                <w:bCs/>
                <w:color w:val="auto"/>
                <w:szCs w:val="21"/>
              </w:rPr>
              <w:t>t/a。年运行2400h，则NH</w:t>
            </w:r>
            <w:r>
              <w:rPr>
                <w:rFonts w:hint="eastAsia"/>
                <w:bCs/>
                <w:color w:val="auto"/>
                <w:szCs w:val="21"/>
                <w:vertAlign w:val="subscript"/>
              </w:rPr>
              <w:t>3</w:t>
            </w:r>
            <w:r>
              <w:rPr>
                <w:rFonts w:hint="eastAsia"/>
                <w:bCs/>
                <w:color w:val="auto"/>
                <w:szCs w:val="21"/>
              </w:rPr>
              <w:t>排放速率为</w:t>
            </w:r>
            <w:r>
              <w:rPr>
                <w:rFonts w:hint="eastAsia"/>
                <w:bCs/>
                <w:color w:val="auto"/>
                <w:szCs w:val="21"/>
                <w:lang w:val="en-US" w:eastAsia="zh-CN"/>
              </w:rPr>
              <w:t>0.0008</w:t>
            </w:r>
            <w:r>
              <w:rPr>
                <w:rFonts w:hint="eastAsia"/>
                <w:bCs/>
                <w:color w:val="auto"/>
                <w:szCs w:val="21"/>
              </w:rPr>
              <w:t>kg/h，H</w:t>
            </w:r>
            <w:r>
              <w:rPr>
                <w:rFonts w:hint="eastAsia"/>
                <w:bCs/>
                <w:color w:val="auto"/>
                <w:szCs w:val="21"/>
                <w:vertAlign w:val="subscript"/>
              </w:rPr>
              <w:t>2</w:t>
            </w:r>
            <w:r>
              <w:rPr>
                <w:rFonts w:hint="eastAsia"/>
                <w:bCs/>
                <w:color w:val="auto"/>
                <w:szCs w:val="21"/>
              </w:rPr>
              <w:t>S排放速率为</w:t>
            </w:r>
            <w:r>
              <w:rPr>
                <w:rFonts w:hint="eastAsia"/>
                <w:bCs/>
                <w:color w:val="auto"/>
                <w:szCs w:val="21"/>
                <w:lang w:val="en-US" w:eastAsia="zh-CN"/>
              </w:rPr>
              <w:t>0.00003</w:t>
            </w:r>
            <w:r>
              <w:rPr>
                <w:rFonts w:hint="eastAsia"/>
                <w:bCs/>
                <w:color w:val="auto"/>
                <w:szCs w:val="21"/>
              </w:rPr>
              <w:t>kg/h。以无组织形式排放。</w:t>
            </w:r>
          </w:p>
          <w:p>
            <w:pPr>
              <w:adjustRightInd w:val="0"/>
              <w:snapToGrid w:val="0"/>
              <w:spacing w:line="500" w:lineRule="exact"/>
              <w:ind w:firstLine="422" w:firstLineChars="200"/>
              <w:rPr>
                <w:b/>
                <w:bCs/>
                <w:kern w:val="0"/>
                <w:szCs w:val="21"/>
              </w:rPr>
            </w:pPr>
            <w:r>
              <w:rPr>
                <w:rFonts w:hint="eastAsia"/>
                <w:b/>
                <w:bCs/>
                <w:kern w:val="0"/>
                <w:szCs w:val="21"/>
              </w:rPr>
              <w:t>2、异味影响分析</w:t>
            </w:r>
          </w:p>
          <w:p>
            <w:pPr>
              <w:spacing w:line="500" w:lineRule="exact"/>
              <w:ind w:firstLine="420" w:firstLineChars="200"/>
              <w:rPr>
                <w:rFonts w:hint="eastAsia"/>
              </w:rPr>
            </w:pPr>
            <w:r>
              <w:rPr>
                <w:rFonts w:hint="eastAsia"/>
              </w:rPr>
              <w:t>本项目采用一体化污水处理设施，运行时会产生少量异味。臭气浓度与臭气强度是表征异味污染对人的嗅觉刺激程度的两种常用指标。臭气浓度是指用无臭的清洁空气稀释异味样品直至样品无味时所需的稀释倍数，我国《恶臭污染物排放标准》（GB14554-93）中对混合异味物质的臭气浓度排放阈值进行了限定；臭气强度是指异味气体在未经稀释的情况下对人体嗅觉器官的刺激程度，通常以数字的形式表示，可以简单、直观地反映异味污染的程度。根据美国纳德提出将臭气感觉强度从“无气味”到“臭气强度极强”分为五级，具体分法见下表。具体分法见表 4-2</w:t>
            </w:r>
          </w:p>
          <w:p>
            <w:pPr>
              <w:spacing w:line="360" w:lineRule="auto"/>
              <w:jc w:val="center"/>
              <w:rPr>
                <w:b/>
                <w:bCs/>
              </w:rPr>
            </w:pPr>
          </w:p>
          <w:p>
            <w:pPr>
              <w:spacing w:line="360" w:lineRule="auto"/>
              <w:jc w:val="center"/>
              <w:rPr>
                <w:rFonts w:hint="eastAsia"/>
                <w:b/>
                <w:bCs/>
              </w:rPr>
            </w:pPr>
            <w:r>
              <w:rPr>
                <w:b/>
                <w:bCs/>
              </w:rPr>
              <w:t>表 4-</w:t>
            </w:r>
            <w:r>
              <w:rPr>
                <w:rFonts w:hint="eastAsia"/>
                <w:b/>
                <w:bCs/>
              </w:rPr>
              <w:t>2</w:t>
            </w:r>
            <w:r>
              <w:rPr>
                <w:b/>
                <w:bCs/>
              </w:rPr>
              <w:t xml:space="preserve"> </w:t>
            </w:r>
            <w:r>
              <w:rPr>
                <w:rFonts w:hint="eastAsia"/>
                <w:b/>
                <w:bCs/>
              </w:rPr>
              <w:t>恶臭强度分级</w:t>
            </w:r>
          </w:p>
          <w:tbl>
            <w:tblPr>
              <w:tblStyle w:val="11"/>
              <w:tblW w:w="799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52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53" w:type="dxa"/>
                  <w:noWrap w:val="0"/>
                  <w:vAlign w:val="center"/>
                </w:tcPr>
                <w:p>
                  <w:pPr>
                    <w:jc w:val="center"/>
                    <w:rPr>
                      <w:sz w:val="18"/>
                      <w:szCs w:val="18"/>
                    </w:rPr>
                  </w:pPr>
                  <w:r>
                    <w:rPr>
                      <w:sz w:val="18"/>
                      <w:szCs w:val="18"/>
                    </w:rPr>
                    <w:t>类别</w:t>
                  </w:r>
                </w:p>
              </w:tc>
              <w:tc>
                <w:tcPr>
                  <w:tcW w:w="5246" w:type="dxa"/>
                  <w:noWrap w:val="0"/>
                  <w:vAlign w:val="center"/>
                </w:tcPr>
                <w:p>
                  <w:pPr>
                    <w:jc w:val="center"/>
                    <w:rPr>
                      <w:sz w:val="18"/>
                      <w:szCs w:val="18"/>
                    </w:rPr>
                  </w:pPr>
                  <w:r>
                    <w:rPr>
                      <w:sz w:val="18"/>
                      <w:szCs w:val="18"/>
                    </w:rPr>
                    <w:t>监测位置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53" w:type="dxa"/>
                  <w:noWrap w:val="0"/>
                  <w:vAlign w:val="center"/>
                </w:tcPr>
                <w:p>
                  <w:pPr>
                    <w:jc w:val="center"/>
                    <w:rPr>
                      <w:rFonts w:hint="eastAsia"/>
                      <w:sz w:val="18"/>
                      <w:szCs w:val="18"/>
                    </w:rPr>
                  </w:pPr>
                  <w:r>
                    <w:rPr>
                      <w:rFonts w:hint="eastAsia"/>
                      <w:sz w:val="18"/>
                      <w:szCs w:val="18"/>
                    </w:rPr>
                    <w:t>0</w:t>
                  </w:r>
                </w:p>
              </w:tc>
              <w:tc>
                <w:tcPr>
                  <w:tcW w:w="5246" w:type="dxa"/>
                  <w:noWrap w:val="0"/>
                  <w:vAlign w:val="center"/>
                </w:tcPr>
                <w:p>
                  <w:pPr>
                    <w:jc w:val="center"/>
                    <w:rPr>
                      <w:rFonts w:hint="eastAsia"/>
                      <w:sz w:val="18"/>
                      <w:szCs w:val="18"/>
                    </w:rPr>
                  </w:pPr>
                  <w:r>
                    <w:rPr>
                      <w:rFonts w:hint="eastAsia"/>
                      <w:sz w:val="18"/>
                      <w:szCs w:val="18"/>
                    </w:rPr>
                    <w:t>无气味、无污染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53" w:type="dxa"/>
                  <w:noWrap w:val="0"/>
                  <w:vAlign w:val="center"/>
                </w:tcPr>
                <w:p>
                  <w:pPr>
                    <w:jc w:val="center"/>
                    <w:rPr>
                      <w:rFonts w:hint="eastAsia"/>
                      <w:sz w:val="18"/>
                      <w:szCs w:val="18"/>
                    </w:rPr>
                  </w:pPr>
                  <w:r>
                    <w:rPr>
                      <w:rFonts w:hint="eastAsia"/>
                      <w:sz w:val="18"/>
                      <w:szCs w:val="18"/>
                    </w:rPr>
                    <w:t>1</w:t>
                  </w:r>
                </w:p>
              </w:tc>
              <w:tc>
                <w:tcPr>
                  <w:tcW w:w="5246" w:type="dxa"/>
                  <w:noWrap w:val="0"/>
                  <w:vAlign w:val="center"/>
                </w:tcPr>
                <w:p>
                  <w:pPr>
                    <w:jc w:val="center"/>
                    <w:rPr>
                      <w:rFonts w:hint="eastAsia"/>
                      <w:sz w:val="18"/>
                      <w:szCs w:val="18"/>
                    </w:rPr>
                  </w:pPr>
                  <w:r>
                    <w:rPr>
                      <w:rFonts w:hint="eastAsia"/>
                      <w:sz w:val="18"/>
                      <w:szCs w:val="18"/>
                    </w:rPr>
                    <w:t>轻微感觉到有气味、低度污染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53" w:type="dxa"/>
                  <w:noWrap w:val="0"/>
                  <w:vAlign w:val="center"/>
                </w:tcPr>
                <w:p>
                  <w:pPr>
                    <w:jc w:val="center"/>
                    <w:rPr>
                      <w:rFonts w:hint="eastAsia"/>
                      <w:sz w:val="18"/>
                      <w:szCs w:val="18"/>
                    </w:rPr>
                  </w:pPr>
                  <w:r>
                    <w:rPr>
                      <w:rFonts w:hint="eastAsia"/>
                      <w:sz w:val="18"/>
                      <w:szCs w:val="18"/>
                    </w:rPr>
                    <w:t>2</w:t>
                  </w:r>
                </w:p>
              </w:tc>
              <w:tc>
                <w:tcPr>
                  <w:tcW w:w="5246" w:type="dxa"/>
                  <w:noWrap w:val="0"/>
                  <w:vAlign w:val="center"/>
                </w:tcPr>
                <w:p>
                  <w:pPr>
                    <w:jc w:val="center"/>
                    <w:rPr>
                      <w:rFonts w:hint="eastAsia"/>
                      <w:sz w:val="18"/>
                      <w:szCs w:val="18"/>
                    </w:rPr>
                  </w:pPr>
                  <w:r>
                    <w:rPr>
                      <w:rFonts w:hint="eastAsia"/>
                      <w:sz w:val="18"/>
                      <w:szCs w:val="18"/>
                    </w:rPr>
                    <w:t>明显感到有气味、重污染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53" w:type="dxa"/>
                  <w:noWrap w:val="0"/>
                  <w:vAlign w:val="center"/>
                </w:tcPr>
                <w:p>
                  <w:pPr>
                    <w:jc w:val="center"/>
                    <w:rPr>
                      <w:rFonts w:hint="eastAsia"/>
                      <w:sz w:val="18"/>
                      <w:szCs w:val="18"/>
                    </w:rPr>
                  </w:pPr>
                  <w:r>
                    <w:rPr>
                      <w:rFonts w:hint="eastAsia"/>
                      <w:sz w:val="18"/>
                      <w:szCs w:val="18"/>
                    </w:rPr>
                    <w:t>4</w:t>
                  </w:r>
                </w:p>
              </w:tc>
              <w:tc>
                <w:tcPr>
                  <w:tcW w:w="5246" w:type="dxa"/>
                  <w:noWrap w:val="0"/>
                  <w:vAlign w:val="center"/>
                </w:tcPr>
                <w:p>
                  <w:pPr>
                    <w:jc w:val="center"/>
                    <w:rPr>
                      <w:sz w:val="18"/>
                      <w:szCs w:val="18"/>
                    </w:rPr>
                  </w:pPr>
                  <w:r>
                    <w:rPr>
                      <w:rFonts w:hint="eastAsia"/>
                      <w:sz w:val="18"/>
                      <w:szCs w:val="18"/>
                    </w:rPr>
                    <w:t>无法忍受的强臭味、严重</w:t>
                  </w:r>
                </w:p>
              </w:tc>
            </w:tr>
          </w:tbl>
          <w:p>
            <w:pPr>
              <w:spacing w:line="360" w:lineRule="auto"/>
              <w:jc w:val="center"/>
              <w:rPr>
                <w:b/>
                <w:bCs/>
              </w:rPr>
            </w:pPr>
            <w:r>
              <w:rPr>
                <w:b/>
                <w:bCs/>
              </w:rPr>
              <w:t>表 4-</w:t>
            </w:r>
            <w:r>
              <w:rPr>
                <w:rFonts w:hint="eastAsia"/>
                <w:b/>
                <w:bCs/>
              </w:rPr>
              <w:t xml:space="preserve">3 </w:t>
            </w:r>
            <w:r>
              <w:rPr>
                <w:b/>
                <w:bCs/>
              </w:rPr>
              <w:t>大气污染源监测计划</w:t>
            </w:r>
          </w:p>
          <w:tbl>
            <w:tblPr>
              <w:tblStyle w:val="11"/>
              <w:tblW w:w="795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319"/>
              <w:gridCol w:w="2121"/>
              <w:gridCol w:w="23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17" w:type="dxa"/>
                  <w:noWrap w:val="0"/>
                  <w:vAlign w:val="center"/>
                </w:tcPr>
                <w:p>
                  <w:pPr>
                    <w:jc w:val="center"/>
                    <w:rPr>
                      <w:rFonts w:hint="eastAsia"/>
                      <w:sz w:val="18"/>
                      <w:szCs w:val="18"/>
                    </w:rPr>
                  </w:pPr>
                  <w:r>
                    <w:rPr>
                      <w:rFonts w:hint="eastAsia"/>
                      <w:sz w:val="18"/>
                      <w:szCs w:val="18"/>
                    </w:rPr>
                    <w:t>范围</w:t>
                  </w:r>
                </w:p>
              </w:tc>
              <w:tc>
                <w:tcPr>
                  <w:tcW w:w="2319" w:type="dxa"/>
                  <w:noWrap w:val="0"/>
                  <w:vAlign w:val="center"/>
                </w:tcPr>
                <w:p>
                  <w:pPr>
                    <w:jc w:val="center"/>
                    <w:rPr>
                      <w:sz w:val="18"/>
                      <w:szCs w:val="18"/>
                    </w:rPr>
                  </w:pPr>
                  <w:r>
                    <w:rPr>
                      <w:rFonts w:hint="eastAsia"/>
                      <w:sz w:val="18"/>
                      <w:szCs w:val="18"/>
                    </w:rPr>
                    <w:t>0-15</w:t>
                  </w:r>
                </w:p>
              </w:tc>
              <w:tc>
                <w:tcPr>
                  <w:tcW w:w="2121" w:type="dxa"/>
                  <w:noWrap w:val="0"/>
                  <w:vAlign w:val="center"/>
                </w:tcPr>
                <w:p>
                  <w:pPr>
                    <w:jc w:val="center"/>
                    <w:rPr>
                      <w:sz w:val="18"/>
                      <w:szCs w:val="18"/>
                    </w:rPr>
                  </w:pPr>
                  <w:r>
                    <w:rPr>
                      <w:rFonts w:hint="eastAsia"/>
                      <w:sz w:val="18"/>
                      <w:szCs w:val="18"/>
                    </w:rPr>
                    <w:t>15-30</w:t>
                  </w:r>
                </w:p>
              </w:tc>
              <w:tc>
                <w:tcPr>
                  <w:tcW w:w="2302" w:type="dxa"/>
                  <w:noWrap w:val="0"/>
                  <w:vAlign w:val="center"/>
                </w:tcPr>
                <w:p>
                  <w:pPr>
                    <w:jc w:val="center"/>
                    <w:rPr>
                      <w:sz w:val="18"/>
                      <w:szCs w:val="18"/>
                    </w:rPr>
                  </w:pPr>
                  <w:r>
                    <w:rPr>
                      <w:rFonts w:hint="eastAsia"/>
                      <w:sz w:val="18"/>
                      <w:szCs w:val="18"/>
                    </w:rPr>
                    <w:t>30-100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17" w:type="dxa"/>
                  <w:noWrap w:val="0"/>
                  <w:vAlign w:val="center"/>
                </w:tcPr>
                <w:p>
                  <w:pPr>
                    <w:jc w:val="center"/>
                    <w:rPr>
                      <w:rFonts w:hint="eastAsia"/>
                      <w:sz w:val="18"/>
                      <w:szCs w:val="18"/>
                    </w:rPr>
                  </w:pPr>
                  <w:r>
                    <w:rPr>
                      <w:rFonts w:hint="eastAsia"/>
                      <w:sz w:val="18"/>
                      <w:szCs w:val="18"/>
                    </w:rPr>
                    <w:t>强度</w:t>
                  </w:r>
                </w:p>
              </w:tc>
              <w:tc>
                <w:tcPr>
                  <w:tcW w:w="2319" w:type="dxa"/>
                  <w:noWrap w:val="0"/>
                  <w:vAlign w:val="center"/>
                </w:tcPr>
                <w:p>
                  <w:pPr>
                    <w:jc w:val="center"/>
                    <w:rPr>
                      <w:sz w:val="18"/>
                      <w:szCs w:val="18"/>
                    </w:rPr>
                  </w:pPr>
                  <w:r>
                    <w:rPr>
                      <w:rFonts w:hint="eastAsia"/>
                      <w:sz w:val="18"/>
                      <w:szCs w:val="18"/>
                    </w:rPr>
                    <w:t>1</w:t>
                  </w:r>
                </w:p>
              </w:tc>
              <w:tc>
                <w:tcPr>
                  <w:tcW w:w="2121" w:type="dxa"/>
                  <w:noWrap w:val="0"/>
                  <w:vAlign w:val="center"/>
                </w:tcPr>
                <w:p>
                  <w:pPr>
                    <w:jc w:val="center"/>
                    <w:rPr>
                      <w:sz w:val="18"/>
                      <w:szCs w:val="18"/>
                    </w:rPr>
                  </w:pPr>
                  <w:r>
                    <w:rPr>
                      <w:rFonts w:hint="eastAsia"/>
                      <w:sz w:val="18"/>
                      <w:szCs w:val="18"/>
                    </w:rPr>
                    <w:t>0</w:t>
                  </w:r>
                </w:p>
              </w:tc>
              <w:tc>
                <w:tcPr>
                  <w:tcW w:w="2302" w:type="dxa"/>
                  <w:noWrap w:val="0"/>
                  <w:vAlign w:val="center"/>
                </w:tcPr>
                <w:p>
                  <w:pPr>
                    <w:jc w:val="center"/>
                    <w:rPr>
                      <w:sz w:val="18"/>
                      <w:szCs w:val="18"/>
                    </w:rPr>
                  </w:pPr>
                  <w:r>
                    <w:rPr>
                      <w:rFonts w:hint="eastAsia"/>
                      <w:sz w:val="18"/>
                      <w:szCs w:val="18"/>
                    </w:rPr>
                    <w:t>0</w:t>
                  </w:r>
                </w:p>
              </w:tc>
            </w:tr>
          </w:tbl>
          <w:p>
            <w:pPr>
              <w:spacing w:line="500" w:lineRule="exact"/>
              <w:ind w:firstLine="420" w:firstLineChars="200"/>
            </w:pPr>
            <w:r>
              <w:t>恶臭随距离的增加影响减小，当距离大于15m时对环境的影响可基本消除。为了减少恶臭对周围环境的影响，同时也为了防止车间内有毒恶臭气积聚过多对操作工人的健康带来危害，建设项目通过合理布局、成熟技术工艺、规范管理、建设绿化隔离带、喷洒除臭剂等措施，使厂界和周围保护目标恶臭影响降至最低，在此基础上，</w:t>
            </w:r>
            <w:r>
              <w:rPr>
                <w:rFonts w:hint="eastAsia"/>
              </w:rPr>
              <w:t>各类</w:t>
            </w:r>
            <w:r>
              <w:t>臭气源都能得到及时的处理。对此，提出以下避免和减缓措施：</w:t>
            </w:r>
          </w:p>
          <w:p>
            <w:pPr>
              <w:spacing w:line="500" w:lineRule="exact"/>
              <w:ind w:firstLine="420" w:firstLineChars="200"/>
              <w:rPr>
                <w:rFonts w:hint="eastAsia"/>
              </w:rPr>
            </w:pPr>
            <w:r>
              <w:rPr>
                <w:rFonts w:hint="eastAsia"/>
              </w:rPr>
              <w:t>A、项目生产车间需完善换气设施，加强车间空气流通；</w:t>
            </w:r>
          </w:p>
          <w:p>
            <w:pPr>
              <w:spacing w:line="500" w:lineRule="exact"/>
              <w:ind w:firstLine="420" w:firstLineChars="200"/>
              <w:rPr>
                <w:rFonts w:hint="eastAsia"/>
              </w:rPr>
            </w:pPr>
            <w:r>
              <w:rPr>
                <w:rFonts w:hint="eastAsia"/>
              </w:rPr>
              <w:t>B、污水站厌氧池加盖密封；</w:t>
            </w:r>
          </w:p>
          <w:p>
            <w:pPr>
              <w:spacing w:line="500" w:lineRule="exact"/>
              <w:ind w:firstLine="420" w:firstLineChars="200"/>
              <w:rPr>
                <w:rFonts w:hint="eastAsia"/>
              </w:rPr>
            </w:pPr>
            <w:r>
              <w:rPr>
                <w:rFonts w:hint="eastAsia"/>
              </w:rPr>
              <w:t>C、选用环保型的空气清新剂对车间空气进行净化，改善职工的工作环境；</w:t>
            </w:r>
          </w:p>
          <w:p>
            <w:pPr>
              <w:spacing w:line="500" w:lineRule="exact"/>
              <w:ind w:firstLine="420" w:firstLineChars="200"/>
              <w:rPr>
                <w:rFonts w:hint="eastAsia"/>
              </w:rPr>
            </w:pPr>
            <w:r>
              <w:rPr>
                <w:rFonts w:hint="eastAsia"/>
              </w:rPr>
              <w:t>D、车间工作人员佩戴口罩等劳动保护用品；</w:t>
            </w:r>
          </w:p>
          <w:p>
            <w:pPr>
              <w:spacing w:line="500" w:lineRule="exact"/>
              <w:ind w:firstLine="420" w:firstLineChars="200"/>
              <w:rPr>
                <w:rFonts w:hint="eastAsia"/>
              </w:rPr>
            </w:pPr>
            <w:r>
              <w:rPr>
                <w:rFonts w:hint="eastAsia"/>
              </w:rPr>
              <w:t>E、加强车间之间和厂区周围绿化，种植花草树木，生态屏障，吸附部分臭味，可以清新空气，以减轻臭气对厂外环境影响。</w:t>
            </w:r>
          </w:p>
          <w:p>
            <w:pPr>
              <w:spacing w:line="500" w:lineRule="exact"/>
              <w:ind w:firstLine="420" w:firstLineChars="200"/>
            </w:pPr>
            <w:r>
              <w:rPr>
                <w:rFonts w:hint="eastAsia"/>
              </w:rPr>
              <w:t>项目产生的NH</w:t>
            </w:r>
            <w:r>
              <w:rPr>
                <w:rFonts w:hint="eastAsia"/>
                <w:vertAlign w:val="subscript"/>
              </w:rPr>
              <w:t>3</w:t>
            </w:r>
            <w:r>
              <w:rPr>
                <w:rFonts w:hint="eastAsia"/>
              </w:rPr>
              <w:t>、H</w:t>
            </w:r>
            <w:r>
              <w:rPr>
                <w:rFonts w:hint="eastAsia"/>
                <w:vertAlign w:val="subscript"/>
              </w:rPr>
              <w:t>2</w:t>
            </w:r>
            <w:r>
              <w:rPr>
                <w:rFonts w:hint="eastAsia"/>
              </w:rPr>
              <w:t>S属于恶臭物质，在采取上述措施的前提下，大气环境影响程度较小，不会对敏感点产生明显影响，但仍应加强污染控制管理，减少不正常排放情况的发生，异味污染是可以得到控制的。</w:t>
            </w:r>
          </w:p>
          <w:p>
            <w:pPr>
              <w:adjustRightInd w:val="0"/>
              <w:snapToGrid w:val="0"/>
              <w:spacing w:line="500" w:lineRule="exact"/>
              <w:ind w:firstLine="422" w:firstLineChars="200"/>
              <w:rPr>
                <w:rFonts w:hint="eastAsia"/>
                <w:b/>
                <w:bCs/>
                <w:kern w:val="0"/>
                <w:szCs w:val="21"/>
              </w:rPr>
            </w:pPr>
            <w:r>
              <w:rPr>
                <w:rFonts w:hint="eastAsia"/>
                <w:b/>
                <w:bCs/>
                <w:kern w:val="0"/>
                <w:szCs w:val="21"/>
              </w:rPr>
              <w:t>3、无组织废气排放</w:t>
            </w:r>
          </w:p>
          <w:p>
            <w:pPr>
              <w:adjustRightInd w:val="0"/>
              <w:snapToGrid w:val="0"/>
              <w:spacing w:line="500" w:lineRule="exact"/>
              <w:ind w:firstLine="420" w:firstLineChars="200"/>
              <w:rPr>
                <w:rFonts w:hint="eastAsia"/>
                <w:kern w:val="0"/>
                <w:szCs w:val="21"/>
              </w:rPr>
            </w:pPr>
            <w:r>
              <w:rPr>
                <w:rFonts w:hint="eastAsia"/>
              </w:rPr>
              <w:t>①</w:t>
            </w:r>
            <w:r>
              <w:rPr>
                <w:rFonts w:hint="eastAsia"/>
                <w:kern w:val="0"/>
                <w:szCs w:val="21"/>
              </w:rPr>
              <w:t xml:space="preserve">明确各道生产环节负责人，生产过程中操作人员不得以任何理由离开岗位，不能让设备在无人看管的情况下运作。完善事故防范机制和事故应急预案，并经常组织学习和交流，提高操作人员的实战经验，避免因事故应急不当造成的环境污染； </w:t>
            </w:r>
          </w:p>
          <w:p>
            <w:pPr>
              <w:adjustRightInd w:val="0"/>
              <w:snapToGrid w:val="0"/>
              <w:spacing w:line="500" w:lineRule="exact"/>
              <w:ind w:firstLine="420" w:firstLineChars="200"/>
              <w:rPr>
                <w:rFonts w:hint="eastAsia"/>
                <w:kern w:val="0"/>
                <w:szCs w:val="21"/>
              </w:rPr>
            </w:pPr>
            <w:r>
              <w:rPr>
                <w:rFonts w:hint="eastAsia"/>
              </w:rPr>
              <w:t>②</w:t>
            </w:r>
            <w:r>
              <w:rPr>
                <w:rFonts w:hint="eastAsia"/>
                <w:kern w:val="0"/>
                <w:szCs w:val="21"/>
              </w:rPr>
              <w:t>加强废气产生环节的监管，加强车间通风；</w:t>
            </w:r>
          </w:p>
          <w:p>
            <w:pPr>
              <w:adjustRightInd w:val="0"/>
              <w:snapToGrid w:val="0"/>
              <w:spacing w:line="500" w:lineRule="exact"/>
              <w:ind w:firstLine="420" w:firstLineChars="200"/>
              <w:rPr>
                <w:rFonts w:hint="eastAsia"/>
                <w:kern w:val="0"/>
                <w:szCs w:val="21"/>
              </w:rPr>
            </w:pPr>
            <w:r>
              <w:rPr>
                <w:rFonts w:hint="eastAsia"/>
              </w:rPr>
              <w:t>③</w:t>
            </w:r>
            <w:r>
              <w:rPr>
                <w:rFonts w:hint="eastAsia"/>
                <w:kern w:val="0"/>
                <w:szCs w:val="21"/>
              </w:rPr>
              <w:t xml:space="preserve">在厂区及车间四周种植树木，优选吸滞尘烟较强的圆柏、青杨等。 </w:t>
            </w:r>
          </w:p>
          <w:p>
            <w:pPr>
              <w:adjustRightInd w:val="0"/>
              <w:snapToGrid w:val="0"/>
              <w:spacing w:line="500" w:lineRule="exact"/>
              <w:ind w:firstLine="420" w:firstLineChars="200"/>
              <w:rPr>
                <w:rFonts w:hint="eastAsia"/>
                <w:kern w:val="0"/>
                <w:szCs w:val="21"/>
              </w:rPr>
            </w:pPr>
            <w:r>
              <w:rPr>
                <w:rFonts w:hint="eastAsia"/>
                <w:kern w:val="0"/>
                <w:szCs w:val="21"/>
              </w:rPr>
              <w:t>通过以上措施，可有效降低无组织排放废气对大气环境的影响。</w:t>
            </w:r>
          </w:p>
          <w:p>
            <w:pPr>
              <w:adjustRightInd w:val="0"/>
              <w:snapToGrid w:val="0"/>
              <w:spacing w:line="500" w:lineRule="exact"/>
              <w:ind w:firstLine="422" w:firstLineChars="200"/>
              <w:rPr>
                <w:rFonts w:hint="eastAsia"/>
                <w:b/>
                <w:bCs/>
                <w:kern w:val="0"/>
                <w:szCs w:val="21"/>
              </w:rPr>
            </w:pPr>
            <w:r>
              <w:rPr>
                <w:rFonts w:hint="eastAsia"/>
                <w:b/>
                <w:bCs/>
                <w:kern w:val="0"/>
                <w:szCs w:val="21"/>
              </w:rPr>
              <w:t>4、</w:t>
            </w:r>
            <w:r>
              <w:rPr>
                <w:rFonts w:hint="eastAsia"/>
                <w:b/>
                <w:bCs/>
                <w:szCs w:val="21"/>
              </w:rPr>
              <w:t>大气环境影响评价结论：</w:t>
            </w:r>
          </w:p>
          <w:p>
            <w:pPr>
              <w:spacing w:line="360" w:lineRule="auto"/>
              <w:ind w:firstLine="420" w:firstLineChars="200"/>
              <w:rPr>
                <w:rFonts w:hint="eastAsia"/>
              </w:rPr>
            </w:pPr>
            <w:r>
              <w:rPr>
                <w:rFonts w:hint="eastAsia"/>
              </w:rPr>
              <w:t>综上所述，项目氨、硫化氢排放速率、排放浓度满足《恶臭污染物排放标准》（GB14554-93）中相关标准限值，因此，本项目废气对周边环境影响较小。</w:t>
            </w:r>
          </w:p>
          <w:p>
            <w:pPr>
              <w:adjustRightInd w:val="0"/>
              <w:snapToGrid w:val="0"/>
              <w:spacing w:line="500" w:lineRule="exact"/>
              <w:ind w:firstLine="422" w:firstLineChars="200"/>
              <w:rPr>
                <w:rFonts w:hint="eastAsia"/>
                <w:b/>
                <w:bCs/>
                <w:kern w:val="0"/>
                <w:szCs w:val="21"/>
              </w:rPr>
            </w:pPr>
            <w:r>
              <w:rPr>
                <w:rFonts w:hint="eastAsia"/>
                <w:b/>
                <w:bCs/>
                <w:kern w:val="0"/>
                <w:szCs w:val="21"/>
              </w:rPr>
              <w:t>5、监测计划</w:t>
            </w:r>
          </w:p>
          <w:p>
            <w:pPr>
              <w:adjustRightInd w:val="0"/>
              <w:snapToGrid w:val="0"/>
              <w:spacing w:line="500" w:lineRule="exact"/>
              <w:ind w:firstLine="420" w:firstLineChars="200"/>
              <w:rPr>
                <w:rFonts w:hint="eastAsia"/>
                <w:bCs/>
                <w:szCs w:val="21"/>
              </w:rPr>
            </w:pPr>
            <w:r>
              <w:rPr>
                <w:rFonts w:hint="eastAsia"/>
                <w:bCs/>
                <w:szCs w:val="21"/>
              </w:rPr>
              <w:t>根据《排污许可证申请与核发技术规范 总则》（HJ942-2018）、《排污单位自行监测技术指南 纺织印染工业》（HJ879-2017）等相关标准的要求制定以下监测计划，具体见表4-4。</w:t>
            </w:r>
          </w:p>
          <w:p>
            <w:pPr>
              <w:autoSpaceDE w:val="0"/>
              <w:autoSpaceDN w:val="0"/>
              <w:adjustRightInd w:val="0"/>
              <w:spacing w:line="500" w:lineRule="exact"/>
              <w:jc w:val="center"/>
              <w:rPr>
                <w:rFonts w:hint="eastAsia"/>
                <w:b/>
                <w:bCs/>
                <w:szCs w:val="21"/>
              </w:rPr>
            </w:pPr>
            <w:r>
              <w:rPr>
                <w:b/>
                <w:bCs/>
                <w:szCs w:val="21"/>
              </w:rPr>
              <w:t>表</w:t>
            </w:r>
            <w:r>
              <w:rPr>
                <w:rFonts w:hint="eastAsia"/>
                <w:b/>
                <w:bCs/>
                <w:szCs w:val="21"/>
              </w:rPr>
              <w:t>4-4</w:t>
            </w:r>
            <w:r>
              <w:rPr>
                <w:b/>
                <w:bCs/>
                <w:szCs w:val="21"/>
              </w:rPr>
              <w:t xml:space="preserve">  废</w:t>
            </w:r>
            <w:r>
              <w:rPr>
                <w:rFonts w:hint="eastAsia"/>
                <w:b/>
                <w:bCs/>
                <w:szCs w:val="21"/>
              </w:rPr>
              <w:t>气</w:t>
            </w:r>
            <w:r>
              <w:rPr>
                <w:b/>
                <w:bCs/>
                <w:szCs w:val="21"/>
              </w:rPr>
              <w:t>污染物监测要求</w:t>
            </w:r>
          </w:p>
          <w:tbl>
            <w:tblPr>
              <w:tblStyle w:val="11"/>
              <w:tblW w:w="79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8"/>
              <w:gridCol w:w="2168"/>
              <w:gridCol w:w="21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noWrap w:val="0"/>
                  <w:vAlign w:val="center"/>
                </w:tcPr>
                <w:p>
                  <w:pPr>
                    <w:jc w:val="center"/>
                    <w:rPr>
                      <w:sz w:val="18"/>
                      <w:szCs w:val="18"/>
                    </w:rPr>
                  </w:pPr>
                  <w:r>
                    <w:rPr>
                      <w:sz w:val="18"/>
                      <w:szCs w:val="18"/>
                    </w:rPr>
                    <w:t>监测点位</w:t>
                  </w:r>
                </w:p>
              </w:tc>
              <w:tc>
                <w:tcPr>
                  <w:tcW w:w="2168" w:type="dxa"/>
                  <w:noWrap w:val="0"/>
                  <w:vAlign w:val="center"/>
                </w:tcPr>
                <w:p>
                  <w:pPr>
                    <w:jc w:val="center"/>
                    <w:rPr>
                      <w:sz w:val="18"/>
                      <w:szCs w:val="18"/>
                    </w:rPr>
                  </w:pPr>
                  <w:r>
                    <w:rPr>
                      <w:sz w:val="18"/>
                      <w:szCs w:val="18"/>
                    </w:rPr>
                    <w:t>监测指标</w:t>
                  </w:r>
                </w:p>
              </w:tc>
              <w:tc>
                <w:tcPr>
                  <w:tcW w:w="2168" w:type="dxa"/>
                  <w:noWrap w:val="0"/>
                  <w:vAlign w:val="center"/>
                </w:tcPr>
                <w:p>
                  <w:pPr>
                    <w:jc w:val="center"/>
                    <w:rPr>
                      <w:sz w:val="18"/>
                      <w:szCs w:val="18"/>
                    </w:rPr>
                  </w:pPr>
                  <w:r>
                    <w:rPr>
                      <w:sz w:val="18"/>
                      <w:szCs w:val="18"/>
                    </w:rPr>
                    <w:t>监测频次</w:t>
                  </w:r>
                </w:p>
              </w:tc>
              <w:tc>
                <w:tcPr>
                  <w:tcW w:w="2168" w:type="dxa"/>
                  <w:noWrap w:val="0"/>
                  <w:vAlign w:val="center"/>
                </w:tcPr>
                <w:p>
                  <w:pPr>
                    <w:jc w:val="center"/>
                    <w:rPr>
                      <w:sz w:val="18"/>
                      <w:szCs w:val="18"/>
                    </w:rPr>
                  </w:pPr>
                  <w:r>
                    <w:rPr>
                      <w:sz w:val="18"/>
                      <w:szCs w:val="18"/>
                    </w:rPr>
                    <w:t>排放标准（</w:t>
                  </w:r>
                  <w:r>
                    <w:rPr>
                      <w:rFonts w:hint="eastAsia"/>
                      <w:sz w:val="18"/>
                      <w:szCs w:val="18"/>
                    </w:rPr>
                    <w:t>mg/L</w:t>
                  </w:r>
                  <w:r>
                    <w:rPr>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restart"/>
                  <w:noWrap w:val="0"/>
                  <w:vAlign w:val="center"/>
                </w:tcPr>
                <w:p>
                  <w:pPr>
                    <w:jc w:val="center"/>
                    <w:rPr>
                      <w:rFonts w:hint="eastAsia"/>
                      <w:sz w:val="18"/>
                      <w:szCs w:val="18"/>
                    </w:rPr>
                  </w:pPr>
                  <w:r>
                    <w:rPr>
                      <w:rFonts w:hint="eastAsia"/>
                      <w:sz w:val="18"/>
                      <w:szCs w:val="18"/>
                    </w:rPr>
                    <w:t>厂界</w:t>
                  </w:r>
                </w:p>
              </w:tc>
              <w:tc>
                <w:tcPr>
                  <w:tcW w:w="2168" w:type="dxa"/>
                  <w:noWrap w:val="0"/>
                  <w:vAlign w:val="center"/>
                </w:tcPr>
                <w:p>
                  <w:pPr>
                    <w:jc w:val="center"/>
                    <w:rPr>
                      <w:rFonts w:hint="eastAsia"/>
                      <w:sz w:val="18"/>
                      <w:szCs w:val="18"/>
                    </w:rPr>
                  </w:pPr>
                  <w:r>
                    <w:rPr>
                      <w:rFonts w:hint="eastAsia"/>
                      <w:sz w:val="18"/>
                      <w:szCs w:val="18"/>
                    </w:rPr>
                    <w:t>氨</w:t>
                  </w:r>
                </w:p>
              </w:tc>
              <w:tc>
                <w:tcPr>
                  <w:tcW w:w="2168" w:type="dxa"/>
                  <w:noWrap w:val="0"/>
                  <w:vAlign w:val="center"/>
                </w:tcPr>
                <w:p>
                  <w:pPr>
                    <w:jc w:val="center"/>
                    <w:rPr>
                      <w:sz w:val="18"/>
                      <w:szCs w:val="18"/>
                    </w:rPr>
                  </w:pPr>
                  <w:r>
                    <w:rPr>
                      <w:rFonts w:hint="eastAsia"/>
                      <w:sz w:val="18"/>
                      <w:szCs w:val="18"/>
                    </w:rPr>
                    <w:t>1次/年</w:t>
                  </w:r>
                </w:p>
              </w:tc>
              <w:tc>
                <w:tcPr>
                  <w:tcW w:w="2168" w:type="dxa"/>
                  <w:noWrap w:val="0"/>
                  <w:vAlign w:val="center"/>
                </w:tcPr>
                <w:p>
                  <w:pPr>
                    <w:jc w:val="center"/>
                    <w:rPr>
                      <w:sz w:val="18"/>
                      <w:szCs w:val="18"/>
                    </w:rPr>
                  </w:pPr>
                  <w:r>
                    <w:rPr>
                      <w:sz w:val="18"/>
                      <w:szCs w:val="18"/>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1" w:type="dxa"/>
                  <w:vMerge w:val="continue"/>
                  <w:noWrap w:val="0"/>
                  <w:vAlign w:val="center"/>
                </w:tcPr>
                <w:p>
                  <w:pPr>
                    <w:jc w:val="center"/>
                    <w:rPr>
                      <w:sz w:val="18"/>
                      <w:szCs w:val="18"/>
                    </w:rPr>
                  </w:pPr>
                </w:p>
              </w:tc>
              <w:tc>
                <w:tcPr>
                  <w:tcW w:w="2168" w:type="dxa"/>
                  <w:noWrap w:val="0"/>
                  <w:vAlign w:val="center"/>
                </w:tcPr>
                <w:p>
                  <w:pPr>
                    <w:jc w:val="center"/>
                    <w:rPr>
                      <w:rFonts w:hint="eastAsia"/>
                      <w:sz w:val="18"/>
                      <w:szCs w:val="18"/>
                    </w:rPr>
                  </w:pPr>
                  <w:r>
                    <w:rPr>
                      <w:rFonts w:hint="eastAsia"/>
                      <w:sz w:val="18"/>
                      <w:szCs w:val="18"/>
                    </w:rPr>
                    <w:t>硫化氢</w:t>
                  </w:r>
                </w:p>
              </w:tc>
              <w:tc>
                <w:tcPr>
                  <w:tcW w:w="2168" w:type="dxa"/>
                  <w:noWrap w:val="0"/>
                  <w:vAlign w:val="center"/>
                </w:tcPr>
                <w:p>
                  <w:pPr>
                    <w:jc w:val="center"/>
                    <w:rPr>
                      <w:sz w:val="18"/>
                      <w:szCs w:val="18"/>
                    </w:rPr>
                  </w:pPr>
                  <w:r>
                    <w:rPr>
                      <w:rFonts w:hint="eastAsia"/>
                      <w:sz w:val="18"/>
                      <w:szCs w:val="18"/>
                    </w:rPr>
                    <w:t>1次/年</w:t>
                  </w:r>
                </w:p>
              </w:tc>
              <w:tc>
                <w:tcPr>
                  <w:tcW w:w="2168" w:type="dxa"/>
                  <w:noWrap w:val="0"/>
                  <w:vAlign w:val="center"/>
                </w:tcPr>
                <w:p>
                  <w:pPr>
                    <w:jc w:val="center"/>
                    <w:rPr>
                      <w:sz w:val="18"/>
                      <w:szCs w:val="18"/>
                    </w:rPr>
                  </w:pPr>
                  <w:r>
                    <w:rPr>
                      <w:sz w:val="18"/>
                      <w:szCs w:val="18"/>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continue"/>
                  <w:noWrap w:val="0"/>
                  <w:vAlign w:val="center"/>
                </w:tcPr>
                <w:p>
                  <w:pPr>
                    <w:jc w:val="center"/>
                    <w:rPr>
                      <w:sz w:val="18"/>
                      <w:szCs w:val="18"/>
                    </w:rPr>
                  </w:pPr>
                </w:p>
              </w:tc>
              <w:tc>
                <w:tcPr>
                  <w:tcW w:w="2168" w:type="dxa"/>
                  <w:noWrap w:val="0"/>
                  <w:vAlign w:val="center"/>
                </w:tcPr>
                <w:p>
                  <w:pPr>
                    <w:jc w:val="center"/>
                    <w:rPr>
                      <w:rFonts w:hint="eastAsia"/>
                      <w:sz w:val="18"/>
                      <w:szCs w:val="18"/>
                    </w:rPr>
                  </w:pPr>
                  <w:r>
                    <w:rPr>
                      <w:rFonts w:hint="eastAsia"/>
                      <w:sz w:val="18"/>
                      <w:szCs w:val="18"/>
                    </w:rPr>
                    <w:t>臭气浓度</w:t>
                  </w:r>
                </w:p>
              </w:tc>
              <w:tc>
                <w:tcPr>
                  <w:tcW w:w="2168" w:type="dxa"/>
                  <w:noWrap w:val="0"/>
                  <w:vAlign w:val="center"/>
                </w:tcPr>
                <w:p>
                  <w:pPr>
                    <w:jc w:val="center"/>
                    <w:rPr>
                      <w:sz w:val="18"/>
                      <w:szCs w:val="18"/>
                    </w:rPr>
                  </w:pPr>
                  <w:r>
                    <w:rPr>
                      <w:rFonts w:hint="eastAsia"/>
                      <w:sz w:val="18"/>
                      <w:szCs w:val="18"/>
                    </w:rPr>
                    <w:t>1次/年</w:t>
                  </w:r>
                </w:p>
              </w:tc>
              <w:tc>
                <w:tcPr>
                  <w:tcW w:w="2168" w:type="dxa"/>
                  <w:noWrap w:val="0"/>
                  <w:vAlign w:val="center"/>
                </w:tcPr>
                <w:p>
                  <w:pPr>
                    <w:jc w:val="center"/>
                    <w:rPr>
                      <w:sz w:val="18"/>
                      <w:szCs w:val="18"/>
                    </w:rPr>
                  </w:pPr>
                  <w:r>
                    <w:rPr>
                      <w:rFonts w:hint="eastAsia"/>
                      <w:sz w:val="18"/>
                      <w:szCs w:val="18"/>
                    </w:rPr>
                    <w:t>20（无量纲）</w:t>
                  </w: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tc>
      </w:tr>
    </w:tbl>
    <w:p>
      <w:pPr>
        <w:pStyle w:val="2"/>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tbl>
      <w:tblPr>
        <w:tblStyle w:val="12"/>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rPr>
                <w:vertAlign w:val="baseline"/>
              </w:rPr>
            </w:pPr>
          </w:p>
        </w:tc>
        <w:tc>
          <w:tcPr>
            <w:tcW w:w="13339" w:type="dxa"/>
          </w:tcPr>
          <w:p>
            <w:pPr>
              <w:adjustRightInd w:val="0"/>
              <w:snapToGrid w:val="0"/>
              <w:spacing w:line="500" w:lineRule="exact"/>
              <w:rPr>
                <w:rFonts w:hint="eastAsia"/>
                <w:b/>
                <w:szCs w:val="21"/>
              </w:rPr>
            </w:pPr>
            <w:r>
              <w:rPr>
                <w:rFonts w:hint="eastAsia"/>
                <w:b/>
                <w:szCs w:val="21"/>
              </w:rPr>
              <w:t>二、废水</w:t>
            </w:r>
          </w:p>
          <w:p>
            <w:pPr>
              <w:adjustRightInd w:val="0"/>
              <w:snapToGrid w:val="0"/>
              <w:spacing w:line="500" w:lineRule="exact"/>
              <w:jc w:val="center"/>
              <w:rPr>
                <w:rFonts w:hint="eastAsia"/>
                <w:b/>
                <w:szCs w:val="21"/>
              </w:rPr>
            </w:pPr>
            <w:r>
              <w:rPr>
                <w:b/>
                <w:szCs w:val="21"/>
              </w:rPr>
              <w:t>表</w:t>
            </w:r>
            <w:r>
              <w:rPr>
                <w:rFonts w:hint="eastAsia"/>
                <w:b/>
                <w:szCs w:val="21"/>
              </w:rPr>
              <w:t xml:space="preserve">4-5 </w:t>
            </w:r>
            <w:r>
              <w:rPr>
                <w:b/>
                <w:szCs w:val="21"/>
              </w:rPr>
              <w:t>项目废水污染物源强情况</w:t>
            </w:r>
          </w:p>
          <w:tbl>
            <w:tblPr>
              <w:tblStyle w:val="11"/>
              <w:tblW w:w="1297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478"/>
              <w:gridCol w:w="756"/>
              <w:gridCol w:w="798"/>
              <w:gridCol w:w="966"/>
              <w:gridCol w:w="942"/>
              <w:gridCol w:w="756"/>
              <w:gridCol w:w="801"/>
              <w:gridCol w:w="966"/>
              <w:gridCol w:w="876"/>
              <w:gridCol w:w="625"/>
              <w:gridCol w:w="679"/>
              <w:gridCol w:w="690"/>
              <w:gridCol w:w="726"/>
              <w:gridCol w:w="738"/>
              <w:gridCol w:w="408"/>
              <w:gridCol w:w="738"/>
              <w:gridCol w:w="4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14" w:type="dxa"/>
                  <w:vMerge w:val="restart"/>
                  <w:noWrap w:val="0"/>
                  <w:vAlign w:val="center"/>
                </w:tcPr>
                <w:p>
                  <w:pPr>
                    <w:jc w:val="center"/>
                    <w:textAlignment w:val="center"/>
                    <w:rPr>
                      <w:kern w:val="0"/>
                      <w:sz w:val="18"/>
                      <w:szCs w:val="18"/>
                      <w:lang w:bidi="ar"/>
                    </w:rPr>
                  </w:pPr>
                  <w:r>
                    <w:rPr>
                      <w:kern w:val="0"/>
                      <w:sz w:val="18"/>
                      <w:szCs w:val="18"/>
                      <w:lang w:bidi="ar"/>
                    </w:rPr>
                    <w:t>产排污环节</w:t>
                  </w:r>
                </w:p>
              </w:tc>
              <w:tc>
                <w:tcPr>
                  <w:tcW w:w="478" w:type="dxa"/>
                  <w:vMerge w:val="restart"/>
                  <w:noWrap w:val="0"/>
                  <w:vAlign w:val="center"/>
                </w:tcPr>
                <w:p>
                  <w:pPr>
                    <w:jc w:val="center"/>
                    <w:textAlignment w:val="center"/>
                    <w:rPr>
                      <w:kern w:val="0"/>
                      <w:sz w:val="18"/>
                      <w:szCs w:val="18"/>
                      <w:lang w:bidi="ar"/>
                    </w:rPr>
                  </w:pPr>
                  <w:r>
                    <w:rPr>
                      <w:kern w:val="0"/>
                      <w:sz w:val="18"/>
                      <w:szCs w:val="18"/>
                      <w:lang w:bidi="ar"/>
                    </w:rPr>
                    <w:t>类别</w:t>
                  </w:r>
                </w:p>
              </w:tc>
              <w:tc>
                <w:tcPr>
                  <w:tcW w:w="756" w:type="dxa"/>
                  <w:vMerge w:val="restart"/>
                  <w:noWrap w:val="0"/>
                  <w:vAlign w:val="center"/>
                </w:tcPr>
                <w:p>
                  <w:pPr>
                    <w:jc w:val="center"/>
                    <w:textAlignment w:val="center"/>
                    <w:rPr>
                      <w:rFonts w:hint="eastAsia"/>
                      <w:kern w:val="0"/>
                      <w:sz w:val="18"/>
                      <w:szCs w:val="18"/>
                      <w:lang w:bidi="ar"/>
                    </w:rPr>
                  </w:pPr>
                  <w:r>
                    <w:rPr>
                      <w:kern w:val="0"/>
                      <w:sz w:val="18"/>
                      <w:szCs w:val="18"/>
                      <w:lang w:bidi="ar"/>
                    </w:rPr>
                    <w:t>废水</w:t>
                  </w:r>
                </w:p>
                <w:p>
                  <w:pPr>
                    <w:jc w:val="center"/>
                    <w:textAlignment w:val="center"/>
                    <w:rPr>
                      <w:rFonts w:hint="eastAsia"/>
                      <w:kern w:val="0"/>
                      <w:sz w:val="18"/>
                      <w:szCs w:val="18"/>
                      <w:lang w:bidi="ar"/>
                    </w:rPr>
                  </w:pPr>
                  <w:r>
                    <w:rPr>
                      <w:kern w:val="0"/>
                      <w:sz w:val="18"/>
                      <w:szCs w:val="18"/>
                      <w:lang w:bidi="ar"/>
                    </w:rPr>
                    <w:t>产生量</w:t>
                  </w:r>
                </w:p>
                <w:p>
                  <w:pPr>
                    <w:jc w:val="center"/>
                    <w:textAlignment w:val="center"/>
                    <w:rPr>
                      <w:kern w:val="0"/>
                      <w:sz w:val="18"/>
                      <w:szCs w:val="18"/>
                      <w:lang w:bidi="ar"/>
                    </w:rPr>
                  </w:pPr>
                  <w:r>
                    <w:rPr>
                      <w:rFonts w:hint="eastAsia"/>
                      <w:kern w:val="0"/>
                      <w:sz w:val="18"/>
                      <w:szCs w:val="18"/>
                      <w:lang w:bidi="ar"/>
                    </w:rPr>
                    <w:t>（t/a）</w:t>
                  </w:r>
                </w:p>
              </w:tc>
              <w:tc>
                <w:tcPr>
                  <w:tcW w:w="798" w:type="dxa"/>
                  <w:vMerge w:val="restart"/>
                  <w:noWrap w:val="0"/>
                  <w:vAlign w:val="center"/>
                </w:tcPr>
                <w:p>
                  <w:pPr>
                    <w:jc w:val="center"/>
                    <w:textAlignment w:val="center"/>
                    <w:rPr>
                      <w:kern w:val="0"/>
                      <w:sz w:val="18"/>
                      <w:szCs w:val="18"/>
                      <w:lang w:bidi="ar"/>
                    </w:rPr>
                  </w:pPr>
                  <w:r>
                    <w:rPr>
                      <w:kern w:val="0"/>
                      <w:sz w:val="18"/>
                      <w:szCs w:val="18"/>
                      <w:lang w:bidi="ar"/>
                    </w:rPr>
                    <w:t>污染物种类</w:t>
                  </w:r>
                </w:p>
              </w:tc>
              <w:tc>
                <w:tcPr>
                  <w:tcW w:w="1908" w:type="dxa"/>
                  <w:gridSpan w:val="2"/>
                  <w:noWrap w:val="0"/>
                  <w:vAlign w:val="center"/>
                </w:tcPr>
                <w:p>
                  <w:pPr>
                    <w:jc w:val="center"/>
                    <w:textAlignment w:val="center"/>
                    <w:rPr>
                      <w:kern w:val="0"/>
                      <w:sz w:val="18"/>
                      <w:szCs w:val="18"/>
                      <w:lang w:bidi="ar"/>
                    </w:rPr>
                  </w:pPr>
                  <w:r>
                    <w:rPr>
                      <w:kern w:val="0"/>
                      <w:sz w:val="18"/>
                      <w:szCs w:val="18"/>
                      <w:lang w:bidi="ar"/>
                    </w:rPr>
                    <w:t>污染物产生情况</w:t>
                  </w:r>
                </w:p>
              </w:tc>
              <w:tc>
                <w:tcPr>
                  <w:tcW w:w="756" w:type="dxa"/>
                  <w:vMerge w:val="restart"/>
                  <w:noWrap w:val="0"/>
                  <w:vAlign w:val="center"/>
                </w:tcPr>
                <w:p>
                  <w:pPr>
                    <w:jc w:val="center"/>
                    <w:textAlignment w:val="center"/>
                    <w:rPr>
                      <w:rFonts w:hint="eastAsia"/>
                      <w:kern w:val="0"/>
                      <w:sz w:val="18"/>
                      <w:szCs w:val="18"/>
                      <w:lang w:bidi="ar"/>
                    </w:rPr>
                  </w:pPr>
                  <w:r>
                    <w:rPr>
                      <w:kern w:val="0"/>
                      <w:sz w:val="18"/>
                      <w:szCs w:val="18"/>
                      <w:lang w:bidi="ar"/>
                    </w:rPr>
                    <w:t>废水</w:t>
                  </w:r>
                </w:p>
                <w:p>
                  <w:pPr>
                    <w:jc w:val="center"/>
                    <w:textAlignment w:val="center"/>
                    <w:rPr>
                      <w:rFonts w:hint="eastAsia"/>
                      <w:kern w:val="0"/>
                      <w:sz w:val="18"/>
                      <w:szCs w:val="18"/>
                      <w:lang w:bidi="ar"/>
                    </w:rPr>
                  </w:pPr>
                  <w:r>
                    <w:rPr>
                      <w:kern w:val="0"/>
                      <w:sz w:val="18"/>
                      <w:szCs w:val="18"/>
                      <w:lang w:bidi="ar"/>
                    </w:rPr>
                    <w:t>排放量</w:t>
                  </w:r>
                </w:p>
                <w:p>
                  <w:pPr>
                    <w:jc w:val="center"/>
                    <w:textAlignment w:val="center"/>
                    <w:rPr>
                      <w:kern w:val="0"/>
                      <w:sz w:val="18"/>
                      <w:szCs w:val="18"/>
                      <w:lang w:bidi="ar"/>
                    </w:rPr>
                  </w:pPr>
                  <w:r>
                    <w:rPr>
                      <w:rFonts w:hint="eastAsia"/>
                      <w:kern w:val="0"/>
                      <w:sz w:val="18"/>
                      <w:szCs w:val="18"/>
                      <w:lang w:bidi="ar"/>
                    </w:rPr>
                    <w:t>（t/a）</w:t>
                  </w:r>
                </w:p>
              </w:tc>
              <w:tc>
                <w:tcPr>
                  <w:tcW w:w="801" w:type="dxa"/>
                  <w:vMerge w:val="restart"/>
                  <w:noWrap w:val="0"/>
                  <w:vAlign w:val="center"/>
                </w:tcPr>
                <w:p>
                  <w:pPr>
                    <w:jc w:val="center"/>
                    <w:textAlignment w:val="center"/>
                    <w:rPr>
                      <w:kern w:val="0"/>
                      <w:sz w:val="18"/>
                      <w:szCs w:val="18"/>
                      <w:lang w:bidi="ar"/>
                    </w:rPr>
                  </w:pPr>
                  <w:r>
                    <w:rPr>
                      <w:kern w:val="0"/>
                      <w:sz w:val="18"/>
                      <w:szCs w:val="18"/>
                      <w:lang w:bidi="ar"/>
                    </w:rPr>
                    <w:t>污染物种类</w:t>
                  </w:r>
                </w:p>
              </w:tc>
              <w:tc>
                <w:tcPr>
                  <w:tcW w:w="1842" w:type="dxa"/>
                  <w:gridSpan w:val="2"/>
                  <w:noWrap w:val="0"/>
                  <w:vAlign w:val="center"/>
                </w:tcPr>
                <w:p>
                  <w:pPr>
                    <w:jc w:val="center"/>
                    <w:textAlignment w:val="center"/>
                    <w:rPr>
                      <w:kern w:val="0"/>
                      <w:sz w:val="18"/>
                      <w:szCs w:val="18"/>
                      <w:lang w:bidi="ar"/>
                    </w:rPr>
                  </w:pPr>
                  <w:r>
                    <w:rPr>
                      <w:kern w:val="0"/>
                      <w:sz w:val="18"/>
                      <w:szCs w:val="18"/>
                      <w:lang w:bidi="ar"/>
                    </w:rPr>
                    <w:t>污染物排放情况</w:t>
                  </w:r>
                </w:p>
              </w:tc>
              <w:tc>
                <w:tcPr>
                  <w:tcW w:w="3458" w:type="dxa"/>
                  <w:gridSpan w:val="5"/>
                  <w:noWrap w:val="0"/>
                  <w:vAlign w:val="center"/>
                </w:tcPr>
                <w:p>
                  <w:pPr>
                    <w:jc w:val="center"/>
                    <w:textAlignment w:val="center"/>
                    <w:rPr>
                      <w:kern w:val="0"/>
                      <w:sz w:val="18"/>
                      <w:szCs w:val="18"/>
                      <w:lang w:bidi="ar"/>
                    </w:rPr>
                  </w:pPr>
                  <w:r>
                    <w:rPr>
                      <w:kern w:val="0"/>
                      <w:sz w:val="18"/>
                      <w:szCs w:val="18"/>
                      <w:lang w:bidi="ar"/>
                    </w:rPr>
                    <w:t>治理设施情况</w:t>
                  </w:r>
                </w:p>
              </w:tc>
              <w:tc>
                <w:tcPr>
                  <w:tcW w:w="408" w:type="dxa"/>
                  <w:vMerge w:val="restart"/>
                  <w:noWrap w:val="0"/>
                  <w:vAlign w:val="center"/>
                </w:tcPr>
                <w:p>
                  <w:pPr>
                    <w:jc w:val="center"/>
                    <w:textAlignment w:val="center"/>
                    <w:rPr>
                      <w:rFonts w:hint="eastAsia"/>
                      <w:kern w:val="0"/>
                      <w:sz w:val="18"/>
                      <w:szCs w:val="18"/>
                      <w:lang w:bidi="ar"/>
                    </w:rPr>
                  </w:pPr>
                  <w:r>
                    <w:rPr>
                      <w:kern w:val="0"/>
                      <w:sz w:val="18"/>
                      <w:szCs w:val="18"/>
                      <w:lang w:bidi="ar"/>
                    </w:rPr>
                    <w:t>排放</w:t>
                  </w:r>
                </w:p>
                <w:p>
                  <w:pPr>
                    <w:jc w:val="center"/>
                    <w:textAlignment w:val="center"/>
                    <w:rPr>
                      <w:kern w:val="0"/>
                      <w:sz w:val="18"/>
                      <w:szCs w:val="18"/>
                      <w:lang w:bidi="ar"/>
                    </w:rPr>
                  </w:pPr>
                  <w:r>
                    <w:rPr>
                      <w:kern w:val="0"/>
                      <w:sz w:val="18"/>
                      <w:szCs w:val="18"/>
                      <w:lang w:bidi="ar"/>
                    </w:rPr>
                    <w:t>方式</w:t>
                  </w:r>
                </w:p>
              </w:tc>
              <w:tc>
                <w:tcPr>
                  <w:tcW w:w="738" w:type="dxa"/>
                  <w:vMerge w:val="restart"/>
                  <w:noWrap w:val="0"/>
                  <w:vAlign w:val="center"/>
                </w:tcPr>
                <w:p>
                  <w:pPr>
                    <w:jc w:val="center"/>
                    <w:textAlignment w:val="center"/>
                    <w:rPr>
                      <w:rFonts w:hint="eastAsia"/>
                      <w:kern w:val="0"/>
                      <w:sz w:val="18"/>
                      <w:szCs w:val="18"/>
                      <w:lang w:bidi="ar"/>
                    </w:rPr>
                  </w:pPr>
                  <w:r>
                    <w:rPr>
                      <w:kern w:val="0"/>
                      <w:sz w:val="18"/>
                      <w:szCs w:val="18"/>
                      <w:lang w:bidi="ar"/>
                    </w:rPr>
                    <w:t>排放</w:t>
                  </w:r>
                </w:p>
                <w:p>
                  <w:pPr>
                    <w:jc w:val="center"/>
                    <w:textAlignment w:val="center"/>
                    <w:rPr>
                      <w:kern w:val="0"/>
                      <w:sz w:val="18"/>
                      <w:szCs w:val="18"/>
                      <w:lang w:bidi="ar"/>
                    </w:rPr>
                  </w:pPr>
                  <w:r>
                    <w:rPr>
                      <w:kern w:val="0"/>
                      <w:sz w:val="18"/>
                      <w:szCs w:val="18"/>
                      <w:lang w:bidi="ar"/>
                    </w:rPr>
                    <w:t>去向</w:t>
                  </w:r>
                </w:p>
              </w:tc>
              <w:tc>
                <w:tcPr>
                  <w:tcW w:w="413" w:type="dxa"/>
                  <w:vMerge w:val="restart"/>
                  <w:noWrap w:val="0"/>
                  <w:vAlign w:val="center"/>
                </w:tcPr>
                <w:p>
                  <w:pPr>
                    <w:jc w:val="center"/>
                    <w:textAlignment w:val="center"/>
                    <w:rPr>
                      <w:rFonts w:hint="eastAsia"/>
                      <w:kern w:val="0"/>
                      <w:sz w:val="18"/>
                      <w:szCs w:val="18"/>
                      <w:lang w:bidi="ar"/>
                    </w:rPr>
                  </w:pPr>
                  <w:r>
                    <w:rPr>
                      <w:kern w:val="0"/>
                      <w:sz w:val="18"/>
                      <w:szCs w:val="18"/>
                      <w:lang w:bidi="ar"/>
                    </w:rPr>
                    <w:t>排放</w:t>
                  </w:r>
                </w:p>
                <w:p>
                  <w:pPr>
                    <w:jc w:val="center"/>
                    <w:textAlignment w:val="center"/>
                    <w:rPr>
                      <w:kern w:val="0"/>
                      <w:sz w:val="18"/>
                      <w:szCs w:val="18"/>
                      <w:lang w:bidi="ar"/>
                    </w:rPr>
                  </w:pPr>
                  <w:r>
                    <w:rPr>
                      <w:kern w:val="0"/>
                      <w:sz w:val="18"/>
                      <w:szCs w:val="18"/>
                      <w:lang w:bidi="ar"/>
                    </w:rPr>
                    <w:t>规律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14" w:type="dxa"/>
                  <w:vMerge w:val="continue"/>
                  <w:noWrap w:val="0"/>
                  <w:vAlign w:val="center"/>
                </w:tcPr>
                <w:p>
                  <w:pPr>
                    <w:jc w:val="center"/>
                    <w:textAlignment w:val="center"/>
                    <w:rPr>
                      <w:kern w:val="0"/>
                      <w:sz w:val="18"/>
                      <w:szCs w:val="18"/>
                      <w:lang w:bidi="ar"/>
                    </w:rPr>
                  </w:pPr>
                </w:p>
              </w:tc>
              <w:tc>
                <w:tcPr>
                  <w:tcW w:w="478" w:type="dxa"/>
                  <w:vMerge w:val="continue"/>
                  <w:noWrap w:val="0"/>
                  <w:vAlign w:val="center"/>
                </w:tcPr>
                <w:p>
                  <w:pPr>
                    <w:jc w:val="center"/>
                    <w:textAlignment w:val="center"/>
                    <w:rPr>
                      <w:kern w:val="0"/>
                      <w:sz w:val="18"/>
                      <w:szCs w:val="18"/>
                      <w:lang w:bidi="ar"/>
                    </w:rPr>
                  </w:pPr>
                </w:p>
              </w:tc>
              <w:tc>
                <w:tcPr>
                  <w:tcW w:w="756" w:type="dxa"/>
                  <w:vMerge w:val="continue"/>
                  <w:noWrap w:val="0"/>
                  <w:vAlign w:val="center"/>
                </w:tcPr>
                <w:p>
                  <w:pPr>
                    <w:jc w:val="center"/>
                    <w:textAlignment w:val="center"/>
                    <w:rPr>
                      <w:kern w:val="0"/>
                      <w:sz w:val="18"/>
                      <w:szCs w:val="18"/>
                      <w:lang w:bidi="ar"/>
                    </w:rPr>
                  </w:pPr>
                </w:p>
              </w:tc>
              <w:tc>
                <w:tcPr>
                  <w:tcW w:w="798" w:type="dxa"/>
                  <w:vMerge w:val="continue"/>
                  <w:noWrap w:val="0"/>
                  <w:vAlign w:val="center"/>
                </w:tcPr>
                <w:p>
                  <w:pPr>
                    <w:jc w:val="center"/>
                    <w:textAlignment w:val="center"/>
                    <w:rPr>
                      <w:kern w:val="0"/>
                      <w:sz w:val="18"/>
                      <w:szCs w:val="18"/>
                      <w:lang w:bidi="ar"/>
                    </w:rPr>
                  </w:pPr>
                </w:p>
              </w:tc>
              <w:tc>
                <w:tcPr>
                  <w:tcW w:w="966" w:type="dxa"/>
                  <w:noWrap w:val="0"/>
                  <w:vAlign w:val="center"/>
                </w:tcPr>
                <w:p>
                  <w:pPr>
                    <w:jc w:val="center"/>
                    <w:textAlignment w:val="center"/>
                    <w:rPr>
                      <w:rFonts w:hint="eastAsia"/>
                      <w:kern w:val="0"/>
                      <w:sz w:val="18"/>
                      <w:szCs w:val="18"/>
                      <w:lang w:bidi="ar"/>
                    </w:rPr>
                  </w:pPr>
                  <w:r>
                    <w:rPr>
                      <w:kern w:val="0"/>
                      <w:sz w:val="18"/>
                      <w:szCs w:val="18"/>
                      <w:lang w:bidi="ar"/>
                    </w:rPr>
                    <w:t>产生浓度</w:t>
                  </w:r>
                </w:p>
                <w:p>
                  <w:pPr>
                    <w:jc w:val="center"/>
                    <w:textAlignment w:val="center"/>
                    <w:rPr>
                      <w:kern w:val="0"/>
                      <w:sz w:val="18"/>
                      <w:szCs w:val="18"/>
                      <w:lang w:bidi="ar"/>
                    </w:rPr>
                  </w:pPr>
                  <w:r>
                    <w:rPr>
                      <w:rFonts w:hint="eastAsia"/>
                      <w:kern w:val="0"/>
                      <w:sz w:val="18"/>
                      <w:szCs w:val="18"/>
                      <w:lang w:bidi="ar"/>
                    </w:rPr>
                    <w:t>（mg/L）</w:t>
                  </w:r>
                </w:p>
              </w:tc>
              <w:tc>
                <w:tcPr>
                  <w:tcW w:w="942" w:type="dxa"/>
                  <w:noWrap w:val="0"/>
                  <w:vAlign w:val="center"/>
                </w:tcPr>
                <w:p>
                  <w:pPr>
                    <w:jc w:val="center"/>
                    <w:textAlignment w:val="center"/>
                    <w:rPr>
                      <w:rFonts w:hint="eastAsia"/>
                      <w:kern w:val="0"/>
                      <w:sz w:val="18"/>
                      <w:szCs w:val="18"/>
                      <w:lang w:bidi="ar"/>
                    </w:rPr>
                  </w:pPr>
                  <w:r>
                    <w:rPr>
                      <w:kern w:val="0"/>
                      <w:sz w:val="18"/>
                      <w:szCs w:val="18"/>
                      <w:lang w:bidi="ar"/>
                    </w:rPr>
                    <w:t>产生量</w:t>
                  </w:r>
                </w:p>
                <w:p>
                  <w:pPr>
                    <w:jc w:val="center"/>
                    <w:textAlignment w:val="center"/>
                    <w:rPr>
                      <w:kern w:val="0"/>
                      <w:sz w:val="18"/>
                      <w:szCs w:val="18"/>
                      <w:lang w:bidi="ar"/>
                    </w:rPr>
                  </w:pPr>
                  <w:r>
                    <w:rPr>
                      <w:rFonts w:hint="eastAsia"/>
                      <w:kern w:val="0"/>
                      <w:sz w:val="18"/>
                      <w:szCs w:val="18"/>
                      <w:lang w:bidi="ar"/>
                    </w:rPr>
                    <w:t>（t/a）</w:t>
                  </w:r>
                </w:p>
              </w:tc>
              <w:tc>
                <w:tcPr>
                  <w:tcW w:w="756" w:type="dxa"/>
                  <w:vMerge w:val="continue"/>
                  <w:noWrap w:val="0"/>
                  <w:vAlign w:val="center"/>
                </w:tcPr>
                <w:p>
                  <w:pPr>
                    <w:jc w:val="center"/>
                    <w:textAlignment w:val="center"/>
                    <w:rPr>
                      <w:kern w:val="0"/>
                      <w:sz w:val="18"/>
                      <w:szCs w:val="18"/>
                      <w:lang w:bidi="ar"/>
                    </w:rPr>
                  </w:pPr>
                </w:p>
              </w:tc>
              <w:tc>
                <w:tcPr>
                  <w:tcW w:w="801" w:type="dxa"/>
                  <w:vMerge w:val="continue"/>
                  <w:noWrap w:val="0"/>
                  <w:vAlign w:val="center"/>
                </w:tcPr>
                <w:p>
                  <w:pPr>
                    <w:jc w:val="center"/>
                    <w:textAlignment w:val="center"/>
                    <w:rPr>
                      <w:kern w:val="0"/>
                      <w:sz w:val="18"/>
                      <w:szCs w:val="18"/>
                      <w:lang w:bidi="ar"/>
                    </w:rPr>
                  </w:pPr>
                </w:p>
              </w:tc>
              <w:tc>
                <w:tcPr>
                  <w:tcW w:w="966" w:type="dxa"/>
                  <w:noWrap w:val="0"/>
                  <w:vAlign w:val="center"/>
                </w:tcPr>
                <w:p>
                  <w:pPr>
                    <w:jc w:val="center"/>
                    <w:textAlignment w:val="center"/>
                    <w:rPr>
                      <w:kern w:val="0"/>
                      <w:sz w:val="18"/>
                      <w:szCs w:val="18"/>
                      <w:lang w:bidi="ar"/>
                    </w:rPr>
                  </w:pPr>
                  <w:r>
                    <w:rPr>
                      <w:kern w:val="0"/>
                      <w:sz w:val="18"/>
                      <w:szCs w:val="18"/>
                      <w:lang w:bidi="ar"/>
                    </w:rPr>
                    <w:t>排放浓度</w:t>
                  </w:r>
                  <w:r>
                    <w:rPr>
                      <w:rFonts w:hint="eastAsia"/>
                      <w:kern w:val="0"/>
                      <w:sz w:val="18"/>
                      <w:szCs w:val="18"/>
                      <w:lang w:bidi="ar"/>
                    </w:rPr>
                    <w:t>（mg/L）</w:t>
                  </w:r>
                </w:p>
              </w:tc>
              <w:tc>
                <w:tcPr>
                  <w:tcW w:w="876" w:type="dxa"/>
                  <w:noWrap w:val="0"/>
                  <w:vAlign w:val="center"/>
                </w:tcPr>
                <w:p>
                  <w:pPr>
                    <w:jc w:val="center"/>
                    <w:textAlignment w:val="center"/>
                    <w:rPr>
                      <w:rFonts w:hint="eastAsia"/>
                      <w:kern w:val="0"/>
                      <w:sz w:val="18"/>
                      <w:szCs w:val="18"/>
                      <w:lang w:bidi="ar"/>
                    </w:rPr>
                  </w:pPr>
                  <w:r>
                    <w:rPr>
                      <w:kern w:val="0"/>
                      <w:sz w:val="18"/>
                      <w:szCs w:val="18"/>
                      <w:lang w:bidi="ar"/>
                    </w:rPr>
                    <w:t>排放量</w:t>
                  </w:r>
                </w:p>
                <w:p>
                  <w:pPr>
                    <w:jc w:val="center"/>
                    <w:textAlignment w:val="center"/>
                    <w:rPr>
                      <w:kern w:val="0"/>
                      <w:sz w:val="18"/>
                      <w:szCs w:val="18"/>
                      <w:lang w:bidi="ar"/>
                    </w:rPr>
                  </w:pPr>
                  <w:r>
                    <w:rPr>
                      <w:rFonts w:hint="eastAsia"/>
                      <w:kern w:val="0"/>
                      <w:sz w:val="18"/>
                      <w:szCs w:val="18"/>
                      <w:lang w:bidi="ar"/>
                    </w:rPr>
                    <w:t>（t/a）</w:t>
                  </w:r>
                </w:p>
              </w:tc>
              <w:tc>
                <w:tcPr>
                  <w:tcW w:w="625" w:type="dxa"/>
                  <w:noWrap w:val="0"/>
                  <w:vAlign w:val="center"/>
                </w:tcPr>
                <w:p>
                  <w:pPr>
                    <w:jc w:val="center"/>
                    <w:textAlignment w:val="center"/>
                    <w:rPr>
                      <w:rFonts w:hint="eastAsia"/>
                      <w:kern w:val="0"/>
                      <w:sz w:val="18"/>
                      <w:szCs w:val="18"/>
                      <w:lang w:bidi="ar"/>
                    </w:rPr>
                  </w:pPr>
                  <w:r>
                    <w:rPr>
                      <w:kern w:val="0"/>
                      <w:sz w:val="18"/>
                      <w:szCs w:val="18"/>
                      <w:lang w:bidi="ar"/>
                    </w:rPr>
                    <w:t>治理</w:t>
                  </w:r>
                </w:p>
                <w:p>
                  <w:pPr>
                    <w:jc w:val="center"/>
                    <w:textAlignment w:val="center"/>
                    <w:rPr>
                      <w:kern w:val="0"/>
                      <w:sz w:val="18"/>
                      <w:szCs w:val="18"/>
                      <w:lang w:bidi="ar"/>
                    </w:rPr>
                  </w:pPr>
                  <w:r>
                    <w:rPr>
                      <w:kern w:val="0"/>
                      <w:sz w:val="18"/>
                      <w:szCs w:val="18"/>
                      <w:lang w:bidi="ar"/>
                    </w:rPr>
                    <w:t>设施</w:t>
                  </w:r>
                </w:p>
              </w:tc>
              <w:tc>
                <w:tcPr>
                  <w:tcW w:w="679" w:type="dxa"/>
                  <w:noWrap w:val="0"/>
                  <w:vAlign w:val="center"/>
                </w:tcPr>
                <w:p>
                  <w:pPr>
                    <w:jc w:val="center"/>
                    <w:textAlignment w:val="center"/>
                    <w:rPr>
                      <w:rFonts w:hint="eastAsia"/>
                      <w:kern w:val="0"/>
                      <w:sz w:val="18"/>
                      <w:szCs w:val="18"/>
                      <w:lang w:bidi="ar"/>
                    </w:rPr>
                  </w:pPr>
                  <w:r>
                    <w:rPr>
                      <w:kern w:val="0"/>
                      <w:sz w:val="18"/>
                      <w:szCs w:val="18"/>
                      <w:lang w:bidi="ar"/>
                    </w:rPr>
                    <w:t>处理</w:t>
                  </w:r>
                </w:p>
                <w:p>
                  <w:pPr>
                    <w:jc w:val="center"/>
                    <w:textAlignment w:val="center"/>
                    <w:rPr>
                      <w:kern w:val="0"/>
                      <w:sz w:val="18"/>
                      <w:szCs w:val="18"/>
                      <w:lang w:bidi="ar"/>
                    </w:rPr>
                  </w:pPr>
                  <w:r>
                    <w:rPr>
                      <w:kern w:val="0"/>
                      <w:sz w:val="18"/>
                      <w:szCs w:val="18"/>
                      <w:lang w:bidi="ar"/>
                    </w:rPr>
                    <w:t>能力</w:t>
                  </w:r>
                </w:p>
              </w:tc>
              <w:tc>
                <w:tcPr>
                  <w:tcW w:w="690" w:type="dxa"/>
                  <w:noWrap w:val="0"/>
                  <w:vAlign w:val="center"/>
                </w:tcPr>
                <w:p>
                  <w:pPr>
                    <w:jc w:val="center"/>
                    <w:textAlignment w:val="center"/>
                    <w:rPr>
                      <w:rFonts w:hint="eastAsia"/>
                      <w:kern w:val="0"/>
                      <w:sz w:val="18"/>
                      <w:szCs w:val="18"/>
                      <w:lang w:bidi="ar"/>
                    </w:rPr>
                  </w:pPr>
                  <w:r>
                    <w:rPr>
                      <w:kern w:val="0"/>
                      <w:sz w:val="18"/>
                      <w:szCs w:val="18"/>
                      <w:lang w:bidi="ar"/>
                    </w:rPr>
                    <w:t>治理</w:t>
                  </w:r>
                </w:p>
                <w:p>
                  <w:pPr>
                    <w:jc w:val="center"/>
                    <w:textAlignment w:val="center"/>
                    <w:rPr>
                      <w:kern w:val="0"/>
                      <w:sz w:val="18"/>
                      <w:szCs w:val="18"/>
                      <w:lang w:bidi="ar"/>
                    </w:rPr>
                  </w:pPr>
                  <w:r>
                    <w:rPr>
                      <w:kern w:val="0"/>
                      <w:sz w:val="18"/>
                      <w:szCs w:val="18"/>
                      <w:lang w:bidi="ar"/>
                    </w:rPr>
                    <w:t>工艺</w:t>
                  </w:r>
                </w:p>
              </w:tc>
              <w:tc>
                <w:tcPr>
                  <w:tcW w:w="726" w:type="dxa"/>
                  <w:noWrap w:val="0"/>
                  <w:vAlign w:val="center"/>
                </w:tcPr>
                <w:p>
                  <w:pPr>
                    <w:jc w:val="center"/>
                    <w:textAlignment w:val="center"/>
                    <w:rPr>
                      <w:rFonts w:hint="eastAsia"/>
                      <w:kern w:val="0"/>
                      <w:sz w:val="18"/>
                      <w:szCs w:val="18"/>
                      <w:lang w:bidi="ar"/>
                    </w:rPr>
                  </w:pPr>
                  <w:r>
                    <w:rPr>
                      <w:kern w:val="0"/>
                      <w:sz w:val="18"/>
                      <w:szCs w:val="18"/>
                      <w:lang w:bidi="ar"/>
                    </w:rPr>
                    <w:t>治理效率</w:t>
                  </w:r>
                </w:p>
                <w:p>
                  <w:pPr>
                    <w:jc w:val="center"/>
                    <w:textAlignment w:val="center"/>
                    <w:rPr>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kern w:val="0"/>
                      <w:sz w:val="18"/>
                      <w:szCs w:val="18"/>
                      <w:lang w:bidi="ar"/>
                    </w:rPr>
                  </w:pPr>
                  <w:r>
                    <w:rPr>
                      <w:kern w:val="0"/>
                      <w:sz w:val="18"/>
                      <w:szCs w:val="18"/>
                      <w:lang w:bidi="ar"/>
                    </w:rPr>
                    <w:t>是否为可行技术</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14" w:type="dxa"/>
                  <w:vMerge w:val="restart"/>
                  <w:noWrap w:val="0"/>
                  <w:vAlign w:val="center"/>
                </w:tcPr>
                <w:p>
                  <w:pPr>
                    <w:jc w:val="center"/>
                    <w:textAlignment w:val="center"/>
                    <w:rPr>
                      <w:rFonts w:hint="eastAsia"/>
                      <w:kern w:val="0"/>
                      <w:sz w:val="18"/>
                      <w:szCs w:val="18"/>
                      <w:lang w:bidi="ar"/>
                    </w:rPr>
                  </w:pPr>
                  <w:r>
                    <w:rPr>
                      <w:rFonts w:hint="eastAsia"/>
                      <w:kern w:val="0"/>
                      <w:sz w:val="18"/>
                      <w:szCs w:val="18"/>
                      <w:lang w:bidi="ar"/>
                    </w:rPr>
                    <w:t>水洗</w:t>
                  </w:r>
                </w:p>
              </w:tc>
              <w:tc>
                <w:tcPr>
                  <w:tcW w:w="478" w:type="dxa"/>
                  <w:vMerge w:val="restart"/>
                  <w:noWrap w:val="0"/>
                  <w:vAlign w:val="center"/>
                </w:tcPr>
                <w:p>
                  <w:pPr>
                    <w:jc w:val="center"/>
                    <w:textAlignment w:val="center"/>
                    <w:rPr>
                      <w:kern w:val="0"/>
                      <w:sz w:val="18"/>
                      <w:szCs w:val="18"/>
                      <w:lang w:bidi="ar"/>
                    </w:rPr>
                  </w:pPr>
                  <w:r>
                    <w:rPr>
                      <w:rFonts w:hint="eastAsia"/>
                      <w:kern w:val="0"/>
                      <w:sz w:val="18"/>
                      <w:szCs w:val="18"/>
                      <w:lang w:bidi="ar"/>
                    </w:rPr>
                    <w:t>洗衣废水</w:t>
                  </w:r>
                </w:p>
              </w:tc>
              <w:tc>
                <w:tcPr>
                  <w:tcW w:w="756" w:type="dxa"/>
                  <w:vMerge w:val="restart"/>
                  <w:noWrap w:val="0"/>
                  <w:vAlign w:val="center"/>
                </w:tcPr>
                <w:p>
                  <w:pPr>
                    <w:jc w:val="center"/>
                    <w:textAlignment w:val="center"/>
                    <w:rPr>
                      <w:rFonts w:hint="default" w:eastAsia="宋体"/>
                      <w:kern w:val="0"/>
                      <w:sz w:val="18"/>
                      <w:szCs w:val="18"/>
                      <w:lang w:val="en-US" w:eastAsia="zh-CN" w:bidi="ar"/>
                    </w:rPr>
                  </w:pPr>
                  <w:r>
                    <w:rPr>
                      <w:rFonts w:hint="eastAsia"/>
                      <w:kern w:val="0"/>
                      <w:sz w:val="18"/>
                      <w:szCs w:val="18"/>
                      <w:lang w:val="en-US" w:eastAsia="zh-CN" w:bidi="ar"/>
                    </w:rPr>
                    <w:t>1546</w:t>
                  </w:r>
                </w:p>
              </w:tc>
              <w:tc>
                <w:tcPr>
                  <w:tcW w:w="798" w:type="dxa"/>
                  <w:noWrap w:val="0"/>
                  <w:vAlign w:val="center"/>
                </w:tcPr>
                <w:p>
                  <w:pPr>
                    <w:jc w:val="center"/>
                    <w:rPr>
                      <w:rFonts w:hint="eastAsia"/>
                      <w:sz w:val="18"/>
                      <w:szCs w:val="18"/>
                    </w:rPr>
                  </w:pPr>
                  <w:r>
                    <w:rPr>
                      <w:sz w:val="18"/>
                      <w:szCs w:val="18"/>
                    </w:rPr>
                    <w:t>COD</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845</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1.3064 </w:t>
                  </w:r>
                </w:p>
              </w:tc>
              <w:tc>
                <w:tcPr>
                  <w:tcW w:w="756" w:type="dxa"/>
                  <w:vMerge w:val="restart"/>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172</w:t>
                  </w: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COD</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79.5</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0.1229 </w:t>
                  </w:r>
                </w:p>
              </w:tc>
              <w:tc>
                <w:tcPr>
                  <w:tcW w:w="625" w:type="dxa"/>
                  <w:vMerge w:val="restart"/>
                  <w:noWrap w:val="0"/>
                  <w:vAlign w:val="center"/>
                </w:tcPr>
                <w:p>
                  <w:pPr>
                    <w:jc w:val="center"/>
                    <w:textAlignment w:val="center"/>
                    <w:rPr>
                      <w:rFonts w:hint="eastAsia"/>
                      <w:kern w:val="0"/>
                      <w:sz w:val="18"/>
                      <w:szCs w:val="18"/>
                      <w:lang w:bidi="ar"/>
                    </w:rPr>
                  </w:pPr>
                  <w:r>
                    <w:rPr>
                      <w:rFonts w:hint="eastAsia"/>
                      <w:kern w:val="0"/>
                      <w:sz w:val="18"/>
                      <w:szCs w:val="18"/>
                      <w:lang w:bidi="ar"/>
                    </w:rPr>
                    <w:t>一体化污水处理设施</w:t>
                  </w:r>
                </w:p>
              </w:tc>
              <w:tc>
                <w:tcPr>
                  <w:tcW w:w="679" w:type="dxa"/>
                  <w:vMerge w:val="restart"/>
                  <w:noWrap w:val="0"/>
                  <w:vAlign w:val="center"/>
                </w:tcPr>
                <w:p>
                  <w:pPr>
                    <w:jc w:val="center"/>
                    <w:textAlignment w:val="center"/>
                    <w:rPr>
                      <w:rFonts w:hint="eastAsia" w:eastAsia="宋体"/>
                      <w:kern w:val="0"/>
                      <w:sz w:val="18"/>
                      <w:szCs w:val="18"/>
                      <w:lang w:val="en-US" w:eastAsia="zh-CN" w:bidi="ar"/>
                    </w:rPr>
                  </w:pPr>
                  <w:r>
                    <w:rPr>
                      <w:rFonts w:hint="eastAsia"/>
                      <w:kern w:val="0"/>
                      <w:sz w:val="18"/>
                      <w:szCs w:val="18"/>
                      <w:lang w:val="en-US" w:eastAsia="zh-CN" w:bidi="ar"/>
                    </w:rPr>
                    <w:t>30</w:t>
                  </w:r>
                  <w:r>
                    <w:rPr>
                      <w:rFonts w:hint="eastAsia"/>
                      <w:kern w:val="0"/>
                      <w:sz w:val="18"/>
                      <w:szCs w:val="18"/>
                      <w:lang w:bidi="ar"/>
                    </w:rPr>
                    <w:t>t/</w:t>
                  </w:r>
                  <w:r>
                    <w:rPr>
                      <w:rFonts w:hint="eastAsia"/>
                      <w:kern w:val="0"/>
                      <w:sz w:val="18"/>
                      <w:szCs w:val="18"/>
                      <w:lang w:val="en-US" w:eastAsia="zh-CN" w:bidi="ar"/>
                    </w:rPr>
                    <w:t>d</w:t>
                  </w:r>
                </w:p>
              </w:tc>
              <w:tc>
                <w:tcPr>
                  <w:tcW w:w="690" w:type="dxa"/>
                  <w:vMerge w:val="restart"/>
                  <w:noWrap w:val="0"/>
                  <w:vAlign w:val="center"/>
                </w:tcPr>
                <w:p>
                  <w:pPr>
                    <w:jc w:val="center"/>
                    <w:textAlignment w:val="center"/>
                    <w:rPr>
                      <w:kern w:val="0"/>
                      <w:sz w:val="18"/>
                      <w:szCs w:val="18"/>
                      <w:lang w:bidi="ar"/>
                    </w:rPr>
                  </w:pPr>
                  <w:r>
                    <w:rPr>
                      <w:rFonts w:hint="eastAsia"/>
                      <w:kern w:val="0"/>
                      <w:sz w:val="18"/>
                      <w:szCs w:val="18"/>
                      <w:lang w:bidi="ar"/>
                    </w:rPr>
                    <w:t>厌氧/好氧</w:t>
                  </w:r>
                </w:p>
              </w:tc>
              <w:tc>
                <w:tcPr>
                  <w:tcW w:w="726" w:type="dxa"/>
                  <w:noWrap w:val="0"/>
                  <w:vAlign w:val="center"/>
                </w:tcPr>
                <w:p>
                  <w:pPr>
                    <w:jc w:val="center"/>
                    <w:textAlignment w:val="center"/>
                    <w:rPr>
                      <w:kern w:val="0"/>
                      <w:sz w:val="18"/>
                      <w:szCs w:val="18"/>
                      <w:lang w:bidi="ar"/>
                    </w:rPr>
                  </w:pPr>
                  <w:r>
                    <w:rPr>
                      <w:rFonts w:hint="eastAsia"/>
                      <w:kern w:val="0"/>
                      <w:sz w:val="18"/>
                      <w:szCs w:val="18"/>
                      <w:lang w:bidi="ar"/>
                    </w:rPr>
                    <w:t>90.5</w:t>
                  </w:r>
                </w:p>
              </w:tc>
              <w:tc>
                <w:tcPr>
                  <w:tcW w:w="738" w:type="dxa"/>
                  <w:vMerge w:val="restart"/>
                  <w:noWrap w:val="0"/>
                  <w:vAlign w:val="center"/>
                </w:tcPr>
                <w:p>
                  <w:pPr>
                    <w:jc w:val="center"/>
                    <w:textAlignment w:val="center"/>
                    <w:rPr>
                      <w:rFonts w:hint="eastAsia"/>
                      <w:kern w:val="0"/>
                      <w:sz w:val="18"/>
                      <w:szCs w:val="18"/>
                      <w:lang w:bidi="ar"/>
                    </w:rPr>
                  </w:pPr>
                  <w:r>
                    <w:rPr>
                      <w:rFonts w:hint="eastAsia"/>
                      <w:kern w:val="0"/>
                      <w:sz w:val="18"/>
                      <w:szCs w:val="18"/>
                      <w:lang w:bidi="ar"/>
                    </w:rPr>
                    <w:t>是</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sz w:val="18"/>
                      <w:szCs w:val="18"/>
                    </w:rPr>
                  </w:pPr>
                  <w:r>
                    <w:rPr>
                      <w:rFonts w:hint="eastAsia"/>
                      <w:sz w:val="18"/>
                      <w:szCs w:val="18"/>
                    </w:rPr>
                    <w:t>BOD</w:t>
                  </w:r>
                  <w:r>
                    <w:rPr>
                      <w:rFonts w:hint="eastAsia"/>
                      <w:sz w:val="18"/>
                      <w:szCs w:val="18"/>
                      <w:vertAlign w:val="subscript"/>
                    </w:rPr>
                    <w:t>5</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350</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0.5411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BOD5</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12.35</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0.0191 </w:t>
                  </w:r>
                </w:p>
              </w:tc>
              <w:tc>
                <w:tcPr>
                  <w:tcW w:w="625" w:type="dxa"/>
                  <w:vMerge w:val="continue"/>
                  <w:noWrap w:val="0"/>
                  <w:vAlign w:val="center"/>
                </w:tcPr>
                <w:p>
                  <w:pPr>
                    <w:jc w:val="center"/>
                    <w:textAlignment w:val="center"/>
                    <w:rPr>
                      <w:rFonts w:hint="eastAsia"/>
                      <w:kern w:val="0"/>
                      <w:sz w:val="18"/>
                      <w:szCs w:val="18"/>
                      <w:lang w:bidi="ar"/>
                    </w:rPr>
                  </w:pPr>
                </w:p>
              </w:tc>
              <w:tc>
                <w:tcPr>
                  <w:tcW w:w="679" w:type="dxa"/>
                  <w:vMerge w:val="continue"/>
                  <w:noWrap w:val="0"/>
                  <w:vAlign w:val="center"/>
                </w:tcPr>
                <w:p>
                  <w:pPr>
                    <w:jc w:val="center"/>
                    <w:textAlignment w:val="center"/>
                    <w:rPr>
                      <w:rFonts w:hint="eastAsia"/>
                      <w:kern w:val="0"/>
                      <w:sz w:val="18"/>
                      <w:szCs w:val="18"/>
                      <w:lang w:bidi="ar"/>
                    </w:rPr>
                  </w:pPr>
                </w:p>
              </w:tc>
              <w:tc>
                <w:tcPr>
                  <w:tcW w:w="690" w:type="dxa"/>
                  <w:vMerge w:val="continue"/>
                  <w:noWrap w:val="0"/>
                  <w:vAlign w:val="center"/>
                </w:tcPr>
                <w:p>
                  <w:pPr>
                    <w:jc w:val="center"/>
                    <w:textAlignment w:val="center"/>
                    <w:rPr>
                      <w:rFonts w:hint="eastAsia"/>
                      <w:kern w:val="0"/>
                      <w:sz w:val="18"/>
                      <w:szCs w:val="18"/>
                      <w:lang w:bidi="ar"/>
                    </w:rPr>
                  </w:pPr>
                </w:p>
              </w:tc>
              <w:tc>
                <w:tcPr>
                  <w:tcW w:w="726" w:type="dxa"/>
                  <w:noWrap w:val="0"/>
                  <w:vAlign w:val="center"/>
                </w:tcPr>
                <w:p>
                  <w:pPr>
                    <w:jc w:val="center"/>
                    <w:textAlignment w:val="center"/>
                    <w:rPr>
                      <w:kern w:val="0"/>
                      <w:sz w:val="18"/>
                      <w:szCs w:val="18"/>
                      <w:lang w:bidi="ar"/>
                    </w:rPr>
                  </w:pPr>
                  <w:r>
                    <w:rPr>
                      <w:rFonts w:hint="eastAsia"/>
                      <w:kern w:val="0"/>
                      <w:sz w:val="18"/>
                      <w:szCs w:val="18"/>
                      <w:lang w:bidi="ar"/>
                    </w:rPr>
                    <w:t>96.47</w:t>
                  </w:r>
                </w:p>
              </w:tc>
              <w:tc>
                <w:tcPr>
                  <w:tcW w:w="738" w:type="dxa"/>
                  <w:vMerge w:val="continue"/>
                  <w:noWrap w:val="0"/>
                  <w:vAlign w:val="center"/>
                </w:tcPr>
                <w:p>
                  <w:pPr>
                    <w:jc w:val="center"/>
                    <w:textAlignment w:val="center"/>
                    <w:rPr>
                      <w:rFonts w:hint="eastAsia"/>
                      <w:kern w:val="0"/>
                      <w:sz w:val="18"/>
                      <w:szCs w:val="18"/>
                      <w:lang w:bidi="ar"/>
                    </w:rPr>
                  </w:pP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4" w:type="dxa"/>
                  <w:vMerge w:val="continue"/>
                  <w:noWrap w:val="0"/>
                  <w:vAlign w:val="center"/>
                </w:tcPr>
                <w:p>
                  <w:pPr>
                    <w:jc w:val="center"/>
                    <w:textAlignment w:val="center"/>
                    <w:rPr>
                      <w:kern w:val="0"/>
                      <w:sz w:val="18"/>
                      <w:szCs w:val="18"/>
                      <w:lang w:bidi="ar"/>
                    </w:rPr>
                  </w:pPr>
                </w:p>
              </w:tc>
              <w:tc>
                <w:tcPr>
                  <w:tcW w:w="478" w:type="dxa"/>
                  <w:vMerge w:val="continue"/>
                  <w:noWrap w:val="0"/>
                  <w:vAlign w:val="center"/>
                </w:tcPr>
                <w:p>
                  <w:pPr>
                    <w:jc w:val="center"/>
                    <w:textAlignment w:val="center"/>
                    <w:rPr>
                      <w:kern w:val="0"/>
                      <w:sz w:val="18"/>
                      <w:szCs w:val="18"/>
                      <w:lang w:bidi="ar"/>
                    </w:rPr>
                  </w:pPr>
                </w:p>
              </w:tc>
              <w:tc>
                <w:tcPr>
                  <w:tcW w:w="756" w:type="dxa"/>
                  <w:vMerge w:val="continue"/>
                  <w:noWrap w:val="0"/>
                  <w:vAlign w:val="center"/>
                </w:tcPr>
                <w:p>
                  <w:pPr>
                    <w:jc w:val="center"/>
                    <w:textAlignment w:val="center"/>
                    <w:rPr>
                      <w:kern w:val="0"/>
                      <w:sz w:val="18"/>
                      <w:szCs w:val="18"/>
                      <w:lang w:bidi="ar"/>
                    </w:rPr>
                  </w:pPr>
                </w:p>
              </w:tc>
              <w:tc>
                <w:tcPr>
                  <w:tcW w:w="798" w:type="dxa"/>
                  <w:noWrap w:val="0"/>
                  <w:vAlign w:val="center"/>
                </w:tcPr>
                <w:p>
                  <w:pPr>
                    <w:jc w:val="center"/>
                    <w:rPr>
                      <w:rFonts w:hint="eastAsia"/>
                      <w:sz w:val="18"/>
                      <w:szCs w:val="18"/>
                    </w:rPr>
                  </w:pPr>
                  <w:r>
                    <w:rPr>
                      <w:sz w:val="18"/>
                      <w:szCs w:val="18"/>
                    </w:rPr>
                    <w:t>SS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445</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0.6880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SS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24.92</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0.0385 </w:t>
                  </w:r>
                </w:p>
              </w:tc>
              <w:tc>
                <w:tcPr>
                  <w:tcW w:w="625" w:type="dxa"/>
                  <w:vMerge w:val="continue"/>
                  <w:noWrap w:val="0"/>
                  <w:vAlign w:val="center"/>
                </w:tcPr>
                <w:p>
                  <w:pPr>
                    <w:jc w:val="center"/>
                    <w:textAlignment w:val="center"/>
                    <w:rPr>
                      <w:kern w:val="0"/>
                      <w:sz w:val="18"/>
                      <w:szCs w:val="18"/>
                      <w:lang w:bidi="ar"/>
                    </w:rPr>
                  </w:pPr>
                </w:p>
              </w:tc>
              <w:tc>
                <w:tcPr>
                  <w:tcW w:w="679" w:type="dxa"/>
                  <w:vMerge w:val="continue"/>
                  <w:noWrap w:val="0"/>
                  <w:vAlign w:val="center"/>
                </w:tcPr>
                <w:p>
                  <w:pPr>
                    <w:jc w:val="center"/>
                    <w:textAlignment w:val="center"/>
                    <w:rPr>
                      <w:kern w:val="0"/>
                      <w:sz w:val="18"/>
                      <w:szCs w:val="18"/>
                      <w:lang w:bidi="ar"/>
                    </w:rPr>
                  </w:pPr>
                </w:p>
              </w:tc>
              <w:tc>
                <w:tcPr>
                  <w:tcW w:w="690" w:type="dxa"/>
                  <w:vMerge w:val="continue"/>
                  <w:noWrap w:val="0"/>
                  <w:vAlign w:val="center"/>
                </w:tcPr>
                <w:p>
                  <w:pPr>
                    <w:jc w:val="center"/>
                    <w:textAlignment w:val="center"/>
                    <w:rPr>
                      <w:kern w:val="0"/>
                      <w:sz w:val="18"/>
                      <w:szCs w:val="18"/>
                      <w:lang w:bidi="ar"/>
                    </w:rPr>
                  </w:pPr>
                </w:p>
              </w:tc>
              <w:tc>
                <w:tcPr>
                  <w:tcW w:w="726" w:type="dxa"/>
                  <w:noWrap w:val="0"/>
                  <w:vAlign w:val="center"/>
                </w:tcPr>
                <w:p>
                  <w:pPr>
                    <w:jc w:val="center"/>
                    <w:textAlignment w:val="center"/>
                    <w:rPr>
                      <w:kern w:val="0"/>
                      <w:sz w:val="18"/>
                      <w:szCs w:val="18"/>
                      <w:lang w:bidi="ar"/>
                    </w:rPr>
                  </w:pPr>
                  <w:r>
                    <w:rPr>
                      <w:rFonts w:hint="eastAsia"/>
                      <w:kern w:val="0"/>
                      <w:sz w:val="18"/>
                      <w:szCs w:val="18"/>
                      <w:lang w:bidi="ar"/>
                    </w:rPr>
                    <w:t>94.4</w:t>
                  </w:r>
                </w:p>
              </w:tc>
              <w:tc>
                <w:tcPr>
                  <w:tcW w:w="738" w:type="dxa"/>
                  <w:vMerge w:val="continue"/>
                  <w:noWrap w:val="0"/>
                  <w:vAlign w:val="center"/>
                </w:tcPr>
                <w:p>
                  <w:pPr>
                    <w:jc w:val="center"/>
                    <w:textAlignment w:val="center"/>
                    <w:rPr>
                      <w:kern w:val="0"/>
                      <w:sz w:val="18"/>
                      <w:szCs w:val="18"/>
                      <w:lang w:bidi="ar"/>
                    </w:rPr>
                  </w:pP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4" w:type="dxa"/>
                  <w:vMerge w:val="continue"/>
                  <w:noWrap w:val="0"/>
                  <w:vAlign w:val="center"/>
                </w:tcPr>
                <w:p>
                  <w:pPr>
                    <w:jc w:val="center"/>
                    <w:textAlignment w:val="center"/>
                    <w:rPr>
                      <w:kern w:val="0"/>
                      <w:sz w:val="18"/>
                      <w:szCs w:val="18"/>
                      <w:lang w:bidi="ar"/>
                    </w:rPr>
                  </w:pPr>
                </w:p>
              </w:tc>
              <w:tc>
                <w:tcPr>
                  <w:tcW w:w="478" w:type="dxa"/>
                  <w:vMerge w:val="continue"/>
                  <w:noWrap w:val="0"/>
                  <w:vAlign w:val="center"/>
                </w:tcPr>
                <w:p>
                  <w:pPr>
                    <w:jc w:val="center"/>
                    <w:textAlignment w:val="center"/>
                    <w:rPr>
                      <w:kern w:val="0"/>
                      <w:sz w:val="18"/>
                      <w:szCs w:val="18"/>
                      <w:lang w:bidi="ar"/>
                    </w:rPr>
                  </w:pPr>
                </w:p>
              </w:tc>
              <w:tc>
                <w:tcPr>
                  <w:tcW w:w="756" w:type="dxa"/>
                  <w:vMerge w:val="continue"/>
                  <w:noWrap w:val="0"/>
                  <w:vAlign w:val="center"/>
                </w:tcPr>
                <w:p>
                  <w:pPr>
                    <w:jc w:val="center"/>
                    <w:textAlignment w:val="center"/>
                    <w:rPr>
                      <w:kern w:val="0"/>
                      <w:sz w:val="18"/>
                      <w:szCs w:val="18"/>
                      <w:lang w:bidi="ar"/>
                    </w:rPr>
                  </w:pPr>
                </w:p>
              </w:tc>
              <w:tc>
                <w:tcPr>
                  <w:tcW w:w="798" w:type="dxa"/>
                  <w:noWrap w:val="0"/>
                  <w:vAlign w:val="center"/>
                </w:tcPr>
                <w:p>
                  <w:pPr>
                    <w:jc w:val="center"/>
                    <w:rPr>
                      <w:kern w:val="0"/>
                      <w:sz w:val="18"/>
                      <w:szCs w:val="18"/>
                    </w:rPr>
                  </w:pPr>
                  <w:r>
                    <w:rPr>
                      <w:sz w:val="18"/>
                      <w:szCs w:val="18"/>
                    </w:rPr>
                    <w:t>NH</w:t>
                  </w:r>
                  <w:r>
                    <w:rPr>
                      <w:sz w:val="18"/>
                      <w:szCs w:val="18"/>
                      <w:vertAlign w:val="subscript"/>
                    </w:rPr>
                    <w:t>3</w:t>
                  </w:r>
                  <w:r>
                    <w:rPr>
                      <w:sz w:val="18"/>
                      <w:szCs w:val="18"/>
                    </w:rPr>
                    <w:t>-N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3.5</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0.0054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NH3-N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0.4</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0.0006 </w:t>
                  </w:r>
                </w:p>
              </w:tc>
              <w:tc>
                <w:tcPr>
                  <w:tcW w:w="625" w:type="dxa"/>
                  <w:vMerge w:val="continue"/>
                  <w:noWrap w:val="0"/>
                  <w:vAlign w:val="center"/>
                </w:tcPr>
                <w:p>
                  <w:pPr>
                    <w:jc w:val="center"/>
                    <w:textAlignment w:val="center"/>
                    <w:rPr>
                      <w:kern w:val="0"/>
                      <w:sz w:val="18"/>
                      <w:szCs w:val="18"/>
                      <w:lang w:bidi="ar"/>
                    </w:rPr>
                  </w:pPr>
                </w:p>
              </w:tc>
              <w:tc>
                <w:tcPr>
                  <w:tcW w:w="679" w:type="dxa"/>
                  <w:vMerge w:val="continue"/>
                  <w:noWrap w:val="0"/>
                  <w:vAlign w:val="center"/>
                </w:tcPr>
                <w:p>
                  <w:pPr>
                    <w:jc w:val="center"/>
                    <w:textAlignment w:val="center"/>
                    <w:rPr>
                      <w:kern w:val="0"/>
                      <w:sz w:val="18"/>
                      <w:szCs w:val="18"/>
                      <w:lang w:bidi="ar"/>
                    </w:rPr>
                  </w:pPr>
                </w:p>
              </w:tc>
              <w:tc>
                <w:tcPr>
                  <w:tcW w:w="690" w:type="dxa"/>
                  <w:vMerge w:val="continue"/>
                  <w:noWrap w:val="0"/>
                  <w:vAlign w:val="center"/>
                </w:tcPr>
                <w:p>
                  <w:pPr>
                    <w:jc w:val="center"/>
                    <w:textAlignment w:val="center"/>
                    <w:rPr>
                      <w:kern w:val="0"/>
                      <w:sz w:val="18"/>
                      <w:szCs w:val="18"/>
                      <w:lang w:bidi="ar"/>
                    </w:rPr>
                  </w:pPr>
                </w:p>
              </w:tc>
              <w:tc>
                <w:tcPr>
                  <w:tcW w:w="726" w:type="dxa"/>
                  <w:noWrap w:val="0"/>
                  <w:vAlign w:val="center"/>
                </w:tcPr>
                <w:p>
                  <w:pPr>
                    <w:jc w:val="center"/>
                    <w:textAlignment w:val="center"/>
                    <w:rPr>
                      <w:kern w:val="0"/>
                      <w:sz w:val="18"/>
                      <w:szCs w:val="18"/>
                      <w:lang w:bidi="ar"/>
                    </w:rPr>
                  </w:pPr>
                  <w:r>
                    <w:rPr>
                      <w:rFonts w:hint="eastAsia"/>
                      <w:kern w:val="0"/>
                      <w:sz w:val="18"/>
                      <w:szCs w:val="18"/>
                      <w:lang w:bidi="ar"/>
                    </w:rPr>
                    <w:t>88.6</w:t>
                  </w:r>
                </w:p>
              </w:tc>
              <w:tc>
                <w:tcPr>
                  <w:tcW w:w="738" w:type="dxa"/>
                  <w:vMerge w:val="continue"/>
                  <w:noWrap w:val="0"/>
                  <w:vAlign w:val="center"/>
                </w:tcPr>
                <w:p>
                  <w:pPr>
                    <w:jc w:val="center"/>
                    <w:textAlignment w:val="center"/>
                    <w:rPr>
                      <w:kern w:val="0"/>
                      <w:sz w:val="18"/>
                      <w:szCs w:val="18"/>
                      <w:lang w:bidi="ar"/>
                    </w:rPr>
                  </w:pP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4" w:type="dxa"/>
                  <w:vMerge w:val="continue"/>
                  <w:noWrap w:val="0"/>
                  <w:vAlign w:val="center"/>
                </w:tcPr>
                <w:p>
                  <w:pPr>
                    <w:jc w:val="center"/>
                    <w:textAlignment w:val="center"/>
                    <w:rPr>
                      <w:kern w:val="0"/>
                      <w:sz w:val="18"/>
                      <w:szCs w:val="18"/>
                      <w:lang w:bidi="ar"/>
                    </w:rPr>
                  </w:pPr>
                </w:p>
              </w:tc>
              <w:tc>
                <w:tcPr>
                  <w:tcW w:w="478" w:type="dxa"/>
                  <w:vMerge w:val="continue"/>
                  <w:noWrap w:val="0"/>
                  <w:vAlign w:val="center"/>
                </w:tcPr>
                <w:p>
                  <w:pPr>
                    <w:jc w:val="center"/>
                    <w:textAlignment w:val="center"/>
                    <w:rPr>
                      <w:kern w:val="0"/>
                      <w:sz w:val="18"/>
                      <w:szCs w:val="18"/>
                      <w:lang w:bidi="ar"/>
                    </w:rPr>
                  </w:pPr>
                </w:p>
              </w:tc>
              <w:tc>
                <w:tcPr>
                  <w:tcW w:w="756" w:type="dxa"/>
                  <w:vMerge w:val="continue"/>
                  <w:noWrap w:val="0"/>
                  <w:vAlign w:val="center"/>
                </w:tcPr>
                <w:p>
                  <w:pPr>
                    <w:jc w:val="center"/>
                    <w:textAlignment w:val="center"/>
                    <w:rPr>
                      <w:kern w:val="0"/>
                      <w:sz w:val="18"/>
                      <w:szCs w:val="18"/>
                      <w:lang w:bidi="ar"/>
                    </w:rPr>
                  </w:pPr>
                </w:p>
              </w:tc>
              <w:tc>
                <w:tcPr>
                  <w:tcW w:w="798" w:type="dxa"/>
                  <w:noWrap w:val="0"/>
                  <w:vAlign w:val="center"/>
                </w:tcPr>
                <w:p>
                  <w:pPr>
                    <w:jc w:val="center"/>
                    <w:rPr>
                      <w:kern w:val="0"/>
                      <w:sz w:val="18"/>
                      <w:szCs w:val="18"/>
                    </w:rPr>
                  </w:pPr>
                  <w:r>
                    <w:rPr>
                      <w:sz w:val="18"/>
                      <w:szCs w:val="18"/>
                    </w:rPr>
                    <w:t>TP</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7.8</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0.0121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TP</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1.26</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0.0019 </w:t>
                  </w:r>
                </w:p>
              </w:tc>
              <w:tc>
                <w:tcPr>
                  <w:tcW w:w="625" w:type="dxa"/>
                  <w:vMerge w:val="continue"/>
                  <w:noWrap w:val="0"/>
                  <w:vAlign w:val="center"/>
                </w:tcPr>
                <w:p>
                  <w:pPr>
                    <w:jc w:val="center"/>
                    <w:textAlignment w:val="center"/>
                    <w:rPr>
                      <w:kern w:val="0"/>
                      <w:sz w:val="18"/>
                      <w:szCs w:val="18"/>
                      <w:lang w:bidi="ar"/>
                    </w:rPr>
                  </w:pPr>
                </w:p>
              </w:tc>
              <w:tc>
                <w:tcPr>
                  <w:tcW w:w="679" w:type="dxa"/>
                  <w:vMerge w:val="continue"/>
                  <w:noWrap w:val="0"/>
                  <w:vAlign w:val="center"/>
                </w:tcPr>
                <w:p>
                  <w:pPr>
                    <w:jc w:val="center"/>
                    <w:textAlignment w:val="center"/>
                    <w:rPr>
                      <w:kern w:val="0"/>
                      <w:sz w:val="18"/>
                      <w:szCs w:val="18"/>
                      <w:lang w:bidi="ar"/>
                    </w:rPr>
                  </w:pPr>
                </w:p>
              </w:tc>
              <w:tc>
                <w:tcPr>
                  <w:tcW w:w="690" w:type="dxa"/>
                  <w:vMerge w:val="continue"/>
                  <w:noWrap w:val="0"/>
                  <w:vAlign w:val="center"/>
                </w:tcPr>
                <w:p>
                  <w:pPr>
                    <w:jc w:val="center"/>
                    <w:textAlignment w:val="center"/>
                    <w:rPr>
                      <w:kern w:val="0"/>
                      <w:sz w:val="18"/>
                      <w:szCs w:val="18"/>
                      <w:lang w:bidi="ar"/>
                    </w:rPr>
                  </w:pPr>
                </w:p>
              </w:tc>
              <w:tc>
                <w:tcPr>
                  <w:tcW w:w="726" w:type="dxa"/>
                  <w:noWrap w:val="0"/>
                  <w:vAlign w:val="center"/>
                </w:tcPr>
                <w:p>
                  <w:pPr>
                    <w:jc w:val="center"/>
                    <w:textAlignment w:val="center"/>
                    <w:rPr>
                      <w:kern w:val="0"/>
                      <w:sz w:val="18"/>
                      <w:szCs w:val="18"/>
                      <w:lang w:bidi="ar"/>
                    </w:rPr>
                  </w:pPr>
                  <w:r>
                    <w:rPr>
                      <w:rFonts w:hint="eastAsia"/>
                      <w:kern w:val="0"/>
                      <w:sz w:val="18"/>
                      <w:szCs w:val="18"/>
                      <w:lang w:bidi="ar"/>
                    </w:rPr>
                    <w:t>83.8</w:t>
                  </w:r>
                </w:p>
              </w:tc>
              <w:tc>
                <w:tcPr>
                  <w:tcW w:w="738" w:type="dxa"/>
                  <w:vMerge w:val="continue"/>
                  <w:noWrap w:val="0"/>
                  <w:vAlign w:val="center"/>
                </w:tcPr>
                <w:p>
                  <w:pPr>
                    <w:jc w:val="center"/>
                    <w:textAlignment w:val="center"/>
                    <w:rPr>
                      <w:kern w:val="0"/>
                      <w:sz w:val="18"/>
                      <w:szCs w:val="18"/>
                      <w:lang w:bidi="ar"/>
                    </w:rPr>
                  </w:pP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4" w:type="dxa"/>
                  <w:vMerge w:val="continue"/>
                  <w:noWrap w:val="0"/>
                  <w:vAlign w:val="center"/>
                </w:tcPr>
                <w:p>
                  <w:pPr>
                    <w:jc w:val="center"/>
                    <w:textAlignment w:val="center"/>
                    <w:rPr>
                      <w:kern w:val="0"/>
                      <w:sz w:val="18"/>
                      <w:szCs w:val="18"/>
                      <w:lang w:bidi="ar"/>
                    </w:rPr>
                  </w:pPr>
                </w:p>
              </w:tc>
              <w:tc>
                <w:tcPr>
                  <w:tcW w:w="478" w:type="dxa"/>
                  <w:vMerge w:val="continue"/>
                  <w:noWrap w:val="0"/>
                  <w:vAlign w:val="center"/>
                </w:tcPr>
                <w:p>
                  <w:pPr>
                    <w:jc w:val="center"/>
                    <w:textAlignment w:val="center"/>
                    <w:rPr>
                      <w:kern w:val="0"/>
                      <w:sz w:val="18"/>
                      <w:szCs w:val="18"/>
                      <w:lang w:bidi="ar"/>
                    </w:rPr>
                  </w:pPr>
                </w:p>
              </w:tc>
              <w:tc>
                <w:tcPr>
                  <w:tcW w:w="756" w:type="dxa"/>
                  <w:vMerge w:val="continue"/>
                  <w:noWrap w:val="0"/>
                  <w:vAlign w:val="center"/>
                </w:tcPr>
                <w:p>
                  <w:pPr>
                    <w:jc w:val="center"/>
                    <w:textAlignment w:val="center"/>
                    <w:rPr>
                      <w:kern w:val="0"/>
                      <w:sz w:val="18"/>
                      <w:szCs w:val="18"/>
                      <w:lang w:bidi="ar"/>
                    </w:rPr>
                  </w:pPr>
                </w:p>
              </w:tc>
              <w:tc>
                <w:tcPr>
                  <w:tcW w:w="798" w:type="dxa"/>
                  <w:noWrap w:val="0"/>
                  <w:vAlign w:val="center"/>
                </w:tcPr>
                <w:p>
                  <w:pPr>
                    <w:jc w:val="center"/>
                    <w:rPr>
                      <w:rFonts w:hint="eastAsia"/>
                      <w:sz w:val="18"/>
                      <w:szCs w:val="18"/>
                    </w:rPr>
                  </w:pPr>
                  <w:r>
                    <w:rPr>
                      <w:rFonts w:hint="eastAsia"/>
                      <w:sz w:val="18"/>
                      <w:szCs w:val="18"/>
                    </w:rPr>
                    <w:t>TN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50</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0.0773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TN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14.74</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0.0228 </w:t>
                  </w:r>
                </w:p>
              </w:tc>
              <w:tc>
                <w:tcPr>
                  <w:tcW w:w="625" w:type="dxa"/>
                  <w:vMerge w:val="continue"/>
                  <w:noWrap w:val="0"/>
                  <w:vAlign w:val="center"/>
                </w:tcPr>
                <w:p>
                  <w:pPr>
                    <w:jc w:val="center"/>
                    <w:textAlignment w:val="center"/>
                    <w:rPr>
                      <w:kern w:val="0"/>
                      <w:sz w:val="18"/>
                      <w:szCs w:val="18"/>
                      <w:lang w:bidi="ar"/>
                    </w:rPr>
                  </w:pPr>
                </w:p>
              </w:tc>
              <w:tc>
                <w:tcPr>
                  <w:tcW w:w="679" w:type="dxa"/>
                  <w:vMerge w:val="continue"/>
                  <w:noWrap w:val="0"/>
                  <w:vAlign w:val="center"/>
                </w:tcPr>
                <w:p>
                  <w:pPr>
                    <w:jc w:val="center"/>
                    <w:textAlignment w:val="center"/>
                    <w:rPr>
                      <w:kern w:val="0"/>
                      <w:sz w:val="18"/>
                      <w:szCs w:val="18"/>
                      <w:lang w:bidi="ar"/>
                    </w:rPr>
                  </w:pPr>
                </w:p>
              </w:tc>
              <w:tc>
                <w:tcPr>
                  <w:tcW w:w="690" w:type="dxa"/>
                  <w:vMerge w:val="continue"/>
                  <w:noWrap w:val="0"/>
                  <w:vAlign w:val="center"/>
                </w:tcPr>
                <w:p>
                  <w:pPr>
                    <w:jc w:val="center"/>
                    <w:textAlignment w:val="center"/>
                    <w:rPr>
                      <w:kern w:val="0"/>
                      <w:sz w:val="18"/>
                      <w:szCs w:val="18"/>
                      <w:lang w:bidi="ar"/>
                    </w:rPr>
                  </w:pPr>
                </w:p>
              </w:tc>
              <w:tc>
                <w:tcPr>
                  <w:tcW w:w="726" w:type="dxa"/>
                  <w:noWrap w:val="0"/>
                  <w:vAlign w:val="center"/>
                </w:tcPr>
                <w:p>
                  <w:pPr>
                    <w:jc w:val="center"/>
                    <w:textAlignment w:val="center"/>
                    <w:rPr>
                      <w:kern w:val="0"/>
                      <w:sz w:val="18"/>
                      <w:szCs w:val="18"/>
                      <w:lang w:bidi="ar"/>
                    </w:rPr>
                  </w:pPr>
                  <w:r>
                    <w:rPr>
                      <w:rFonts w:hint="eastAsia"/>
                      <w:kern w:val="0"/>
                      <w:sz w:val="18"/>
                      <w:szCs w:val="18"/>
                      <w:lang w:bidi="ar"/>
                    </w:rPr>
                    <w:t>70.52</w:t>
                  </w:r>
                </w:p>
              </w:tc>
              <w:tc>
                <w:tcPr>
                  <w:tcW w:w="738" w:type="dxa"/>
                  <w:vMerge w:val="continue"/>
                  <w:noWrap w:val="0"/>
                  <w:vAlign w:val="center"/>
                </w:tcPr>
                <w:p>
                  <w:pPr>
                    <w:jc w:val="center"/>
                    <w:textAlignment w:val="center"/>
                    <w:rPr>
                      <w:kern w:val="0"/>
                      <w:sz w:val="18"/>
                      <w:szCs w:val="18"/>
                      <w:lang w:bidi="ar"/>
                    </w:rPr>
                  </w:pP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4" w:type="dxa"/>
                  <w:vMerge w:val="continue"/>
                  <w:noWrap w:val="0"/>
                  <w:vAlign w:val="center"/>
                </w:tcPr>
                <w:p>
                  <w:pPr>
                    <w:jc w:val="center"/>
                    <w:textAlignment w:val="center"/>
                    <w:rPr>
                      <w:kern w:val="0"/>
                      <w:sz w:val="18"/>
                      <w:szCs w:val="18"/>
                      <w:lang w:bidi="ar"/>
                    </w:rPr>
                  </w:pPr>
                </w:p>
              </w:tc>
              <w:tc>
                <w:tcPr>
                  <w:tcW w:w="478" w:type="dxa"/>
                  <w:vMerge w:val="continue"/>
                  <w:noWrap w:val="0"/>
                  <w:vAlign w:val="center"/>
                </w:tcPr>
                <w:p>
                  <w:pPr>
                    <w:jc w:val="center"/>
                    <w:textAlignment w:val="center"/>
                    <w:rPr>
                      <w:kern w:val="0"/>
                      <w:sz w:val="18"/>
                      <w:szCs w:val="18"/>
                      <w:lang w:bidi="ar"/>
                    </w:rPr>
                  </w:pPr>
                </w:p>
              </w:tc>
              <w:tc>
                <w:tcPr>
                  <w:tcW w:w="756" w:type="dxa"/>
                  <w:vMerge w:val="continue"/>
                  <w:noWrap w:val="0"/>
                  <w:vAlign w:val="center"/>
                </w:tcPr>
                <w:p>
                  <w:pPr>
                    <w:jc w:val="center"/>
                    <w:textAlignment w:val="center"/>
                    <w:rPr>
                      <w:kern w:val="0"/>
                      <w:sz w:val="18"/>
                      <w:szCs w:val="18"/>
                      <w:lang w:bidi="ar"/>
                    </w:rPr>
                  </w:pPr>
                </w:p>
              </w:tc>
              <w:tc>
                <w:tcPr>
                  <w:tcW w:w="798" w:type="dxa"/>
                  <w:noWrap w:val="0"/>
                  <w:vAlign w:val="center"/>
                </w:tcPr>
                <w:p>
                  <w:pPr>
                    <w:jc w:val="center"/>
                    <w:rPr>
                      <w:sz w:val="18"/>
                      <w:szCs w:val="18"/>
                    </w:rPr>
                  </w:pPr>
                  <w:r>
                    <w:rPr>
                      <w:rFonts w:hint="eastAsia"/>
                      <w:sz w:val="18"/>
                      <w:szCs w:val="18"/>
                    </w:rPr>
                    <w:t>LAS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3.9</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0.0060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LAS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1.77</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0.0027 </w:t>
                  </w:r>
                </w:p>
              </w:tc>
              <w:tc>
                <w:tcPr>
                  <w:tcW w:w="625" w:type="dxa"/>
                  <w:vMerge w:val="continue"/>
                  <w:noWrap w:val="0"/>
                  <w:vAlign w:val="center"/>
                </w:tcPr>
                <w:p>
                  <w:pPr>
                    <w:jc w:val="center"/>
                    <w:textAlignment w:val="center"/>
                    <w:rPr>
                      <w:kern w:val="0"/>
                      <w:sz w:val="18"/>
                      <w:szCs w:val="18"/>
                      <w:lang w:bidi="ar"/>
                    </w:rPr>
                  </w:pPr>
                </w:p>
              </w:tc>
              <w:tc>
                <w:tcPr>
                  <w:tcW w:w="679" w:type="dxa"/>
                  <w:vMerge w:val="continue"/>
                  <w:noWrap w:val="0"/>
                  <w:vAlign w:val="center"/>
                </w:tcPr>
                <w:p>
                  <w:pPr>
                    <w:jc w:val="center"/>
                    <w:textAlignment w:val="center"/>
                    <w:rPr>
                      <w:kern w:val="0"/>
                      <w:sz w:val="18"/>
                      <w:szCs w:val="18"/>
                      <w:lang w:bidi="ar"/>
                    </w:rPr>
                  </w:pPr>
                </w:p>
              </w:tc>
              <w:tc>
                <w:tcPr>
                  <w:tcW w:w="690" w:type="dxa"/>
                  <w:vMerge w:val="continue"/>
                  <w:noWrap w:val="0"/>
                  <w:vAlign w:val="center"/>
                </w:tcPr>
                <w:p>
                  <w:pPr>
                    <w:jc w:val="center"/>
                    <w:textAlignment w:val="center"/>
                    <w:rPr>
                      <w:kern w:val="0"/>
                      <w:sz w:val="18"/>
                      <w:szCs w:val="18"/>
                      <w:lang w:bidi="ar"/>
                    </w:rPr>
                  </w:pPr>
                </w:p>
              </w:tc>
              <w:tc>
                <w:tcPr>
                  <w:tcW w:w="726" w:type="dxa"/>
                  <w:noWrap w:val="0"/>
                  <w:vAlign w:val="center"/>
                </w:tcPr>
                <w:p>
                  <w:pPr>
                    <w:jc w:val="center"/>
                    <w:textAlignment w:val="center"/>
                    <w:rPr>
                      <w:kern w:val="0"/>
                      <w:sz w:val="18"/>
                      <w:szCs w:val="18"/>
                      <w:lang w:bidi="ar"/>
                    </w:rPr>
                  </w:pPr>
                  <w:r>
                    <w:rPr>
                      <w:rFonts w:hint="eastAsia"/>
                      <w:kern w:val="0"/>
                      <w:sz w:val="18"/>
                      <w:szCs w:val="18"/>
                      <w:lang w:bidi="ar"/>
                    </w:rPr>
                    <w:t>54.6</w:t>
                  </w:r>
                </w:p>
              </w:tc>
              <w:tc>
                <w:tcPr>
                  <w:tcW w:w="738" w:type="dxa"/>
                  <w:vMerge w:val="continue"/>
                  <w:noWrap w:val="0"/>
                  <w:vAlign w:val="center"/>
                </w:tcPr>
                <w:p>
                  <w:pPr>
                    <w:jc w:val="center"/>
                    <w:textAlignment w:val="center"/>
                    <w:rPr>
                      <w:kern w:val="0"/>
                      <w:sz w:val="18"/>
                      <w:szCs w:val="18"/>
                      <w:lang w:bidi="ar"/>
                    </w:rPr>
                  </w:pP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4" w:type="dxa"/>
                  <w:vMerge w:val="continue"/>
                  <w:noWrap w:val="0"/>
                  <w:vAlign w:val="center"/>
                </w:tcPr>
                <w:p>
                  <w:pPr>
                    <w:jc w:val="center"/>
                    <w:textAlignment w:val="center"/>
                    <w:rPr>
                      <w:kern w:val="0"/>
                      <w:sz w:val="18"/>
                      <w:szCs w:val="18"/>
                      <w:lang w:bidi="ar"/>
                    </w:rPr>
                  </w:pPr>
                </w:p>
              </w:tc>
              <w:tc>
                <w:tcPr>
                  <w:tcW w:w="478" w:type="dxa"/>
                  <w:vMerge w:val="continue"/>
                  <w:noWrap w:val="0"/>
                  <w:vAlign w:val="center"/>
                </w:tcPr>
                <w:p>
                  <w:pPr>
                    <w:jc w:val="center"/>
                    <w:textAlignment w:val="center"/>
                    <w:rPr>
                      <w:kern w:val="0"/>
                      <w:sz w:val="18"/>
                      <w:szCs w:val="18"/>
                      <w:lang w:bidi="ar"/>
                    </w:rPr>
                  </w:pPr>
                </w:p>
              </w:tc>
              <w:tc>
                <w:tcPr>
                  <w:tcW w:w="756" w:type="dxa"/>
                  <w:vMerge w:val="continue"/>
                  <w:noWrap w:val="0"/>
                  <w:vAlign w:val="center"/>
                </w:tcPr>
                <w:p>
                  <w:pPr>
                    <w:jc w:val="center"/>
                    <w:textAlignment w:val="center"/>
                    <w:rPr>
                      <w:kern w:val="0"/>
                      <w:sz w:val="18"/>
                      <w:szCs w:val="18"/>
                      <w:lang w:bidi="ar"/>
                    </w:rPr>
                  </w:pPr>
                </w:p>
              </w:tc>
              <w:tc>
                <w:tcPr>
                  <w:tcW w:w="798" w:type="dxa"/>
                  <w:noWrap w:val="0"/>
                  <w:vAlign w:val="center"/>
                </w:tcPr>
                <w:p>
                  <w:pPr>
                    <w:jc w:val="center"/>
                    <w:rPr>
                      <w:rFonts w:hint="eastAsia"/>
                      <w:sz w:val="18"/>
                      <w:szCs w:val="18"/>
                    </w:rPr>
                  </w:pPr>
                  <w:r>
                    <w:rPr>
                      <w:sz w:val="18"/>
                      <w:szCs w:val="18"/>
                    </w:rPr>
                    <w:t>色度</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300倍</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色度</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35.28倍</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625" w:type="dxa"/>
                  <w:vMerge w:val="continue"/>
                  <w:noWrap w:val="0"/>
                  <w:vAlign w:val="center"/>
                </w:tcPr>
                <w:p>
                  <w:pPr>
                    <w:jc w:val="center"/>
                    <w:textAlignment w:val="center"/>
                    <w:rPr>
                      <w:kern w:val="0"/>
                      <w:sz w:val="18"/>
                      <w:szCs w:val="18"/>
                      <w:lang w:bidi="ar"/>
                    </w:rPr>
                  </w:pPr>
                </w:p>
              </w:tc>
              <w:tc>
                <w:tcPr>
                  <w:tcW w:w="679" w:type="dxa"/>
                  <w:vMerge w:val="continue"/>
                  <w:noWrap w:val="0"/>
                  <w:vAlign w:val="center"/>
                </w:tcPr>
                <w:p>
                  <w:pPr>
                    <w:jc w:val="center"/>
                    <w:textAlignment w:val="center"/>
                    <w:rPr>
                      <w:kern w:val="0"/>
                      <w:sz w:val="18"/>
                      <w:szCs w:val="18"/>
                      <w:lang w:bidi="ar"/>
                    </w:rPr>
                  </w:pPr>
                </w:p>
              </w:tc>
              <w:tc>
                <w:tcPr>
                  <w:tcW w:w="690" w:type="dxa"/>
                  <w:vMerge w:val="continue"/>
                  <w:noWrap w:val="0"/>
                  <w:vAlign w:val="center"/>
                </w:tcPr>
                <w:p>
                  <w:pPr>
                    <w:jc w:val="center"/>
                    <w:textAlignment w:val="center"/>
                    <w:rPr>
                      <w:kern w:val="0"/>
                      <w:sz w:val="18"/>
                      <w:szCs w:val="18"/>
                      <w:lang w:bidi="ar"/>
                    </w:rPr>
                  </w:pPr>
                </w:p>
              </w:tc>
              <w:tc>
                <w:tcPr>
                  <w:tcW w:w="726" w:type="dxa"/>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4" w:type="dxa"/>
                  <w:vMerge w:val="restart"/>
                  <w:noWrap w:val="0"/>
                  <w:vAlign w:val="center"/>
                </w:tcPr>
                <w:p>
                  <w:pPr>
                    <w:jc w:val="center"/>
                    <w:textAlignment w:val="center"/>
                    <w:rPr>
                      <w:rFonts w:hint="eastAsia"/>
                      <w:kern w:val="0"/>
                      <w:sz w:val="18"/>
                      <w:szCs w:val="18"/>
                      <w:lang w:bidi="ar"/>
                    </w:rPr>
                  </w:pPr>
                  <w:r>
                    <w:rPr>
                      <w:rFonts w:hint="eastAsia"/>
                      <w:kern w:val="0"/>
                      <w:sz w:val="18"/>
                      <w:szCs w:val="18"/>
                      <w:lang w:bidi="ar"/>
                    </w:rPr>
                    <w:t>脱水</w:t>
                  </w:r>
                </w:p>
              </w:tc>
              <w:tc>
                <w:tcPr>
                  <w:tcW w:w="478" w:type="dxa"/>
                  <w:vMerge w:val="restart"/>
                  <w:noWrap w:val="0"/>
                  <w:vAlign w:val="center"/>
                </w:tcPr>
                <w:p>
                  <w:pPr>
                    <w:jc w:val="center"/>
                    <w:textAlignment w:val="center"/>
                    <w:rPr>
                      <w:kern w:val="0"/>
                      <w:sz w:val="18"/>
                      <w:szCs w:val="18"/>
                      <w:lang w:bidi="ar"/>
                    </w:rPr>
                  </w:pPr>
                  <w:r>
                    <w:rPr>
                      <w:rFonts w:hint="eastAsia"/>
                      <w:kern w:val="0"/>
                      <w:sz w:val="18"/>
                      <w:szCs w:val="18"/>
                      <w:lang w:bidi="ar"/>
                    </w:rPr>
                    <w:t>脱水废水</w:t>
                  </w:r>
                </w:p>
              </w:tc>
              <w:tc>
                <w:tcPr>
                  <w:tcW w:w="756" w:type="dxa"/>
                  <w:vMerge w:val="restart"/>
                  <w:noWrap w:val="0"/>
                  <w:vAlign w:val="center"/>
                </w:tcPr>
                <w:p>
                  <w:pPr>
                    <w:jc w:val="center"/>
                    <w:textAlignment w:val="center"/>
                    <w:rPr>
                      <w:rFonts w:hint="default" w:eastAsia="宋体"/>
                      <w:kern w:val="0"/>
                      <w:sz w:val="18"/>
                      <w:szCs w:val="18"/>
                      <w:lang w:val="en-US" w:eastAsia="zh-CN" w:bidi="ar"/>
                    </w:rPr>
                  </w:pPr>
                  <w:r>
                    <w:rPr>
                      <w:rFonts w:hint="eastAsia"/>
                      <w:kern w:val="0"/>
                      <w:sz w:val="18"/>
                      <w:szCs w:val="18"/>
                      <w:lang w:val="en-US" w:eastAsia="zh-CN" w:bidi="ar"/>
                    </w:rPr>
                    <w:t>55</w:t>
                  </w:r>
                </w:p>
              </w:tc>
              <w:tc>
                <w:tcPr>
                  <w:tcW w:w="798" w:type="dxa"/>
                  <w:noWrap w:val="0"/>
                  <w:vAlign w:val="center"/>
                </w:tcPr>
                <w:p>
                  <w:pPr>
                    <w:jc w:val="center"/>
                    <w:rPr>
                      <w:sz w:val="18"/>
                      <w:szCs w:val="18"/>
                    </w:rPr>
                  </w:pPr>
                  <w:r>
                    <w:rPr>
                      <w:rFonts w:hint="eastAsia"/>
                      <w:sz w:val="18"/>
                      <w:szCs w:val="18"/>
                    </w:rPr>
                    <w:t>C</w:t>
                  </w:r>
                  <w:r>
                    <w:rPr>
                      <w:sz w:val="18"/>
                      <w:szCs w:val="18"/>
                    </w:rPr>
                    <w:t>OD</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845</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0.0465</w:t>
                  </w:r>
                </w:p>
              </w:tc>
              <w:tc>
                <w:tcPr>
                  <w:tcW w:w="756" w:type="dxa"/>
                  <w:vMerge w:val="restart"/>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55</w:t>
                  </w: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COD</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79.5</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0.0044</w:t>
                  </w:r>
                </w:p>
              </w:tc>
              <w:tc>
                <w:tcPr>
                  <w:tcW w:w="625"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sz w:val="18"/>
                      <w:szCs w:val="18"/>
                    </w:rPr>
                  </w:pPr>
                  <w:r>
                    <w:rPr>
                      <w:rFonts w:hint="eastAsia"/>
                      <w:sz w:val="18"/>
                      <w:szCs w:val="18"/>
                    </w:rPr>
                    <w:t>BOD</w:t>
                  </w:r>
                  <w:r>
                    <w:rPr>
                      <w:rFonts w:hint="eastAsia"/>
                      <w:sz w:val="18"/>
                      <w:szCs w:val="18"/>
                      <w:vertAlign w:val="subscript"/>
                    </w:rPr>
                    <w:t>5</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350</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0.0193</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BOD5</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12.35</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0.0007</w:t>
                  </w:r>
                </w:p>
              </w:tc>
              <w:tc>
                <w:tcPr>
                  <w:tcW w:w="625"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sz w:val="18"/>
                      <w:szCs w:val="18"/>
                    </w:rPr>
                  </w:pPr>
                  <w:r>
                    <w:rPr>
                      <w:sz w:val="18"/>
                      <w:szCs w:val="18"/>
                    </w:rPr>
                    <w:t>SS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445</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0.0245</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SS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24.92</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0.0014</w:t>
                  </w:r>
                </w:p>
              </w:tc>
              <w:tc>
                <w:tcPr>
                  <w:tcW w:w="625"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sz w:val="18"/>
                      <w:szCs w:val="18"/>
                    </w:rPr>
                  </w:pPr>
                  <w:r>
                    <w:rPr>
                      <w:sz w:val="18"/>
                      <w:szCs w:val="18"/>
                    </w:rPr>
                    <w:t>NH</w:t>
                  </w:r>
                  <w:r>
                    <w:rPr>
                      <w:sz w:val="18"/>
                      <w:szCs w:val="18"/>
                      <w:vertAlign w:val="subscript"/>
                    </w:rPr>
                    <w:t>3</w:t>
                  </w:r>
                  <w:r>
                    <w:rPr>
                      <w:sz w:val="18"/>
                      <w:szCs w:val="18"/>
                    </w:rPr>
                    <w:t>-N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3.5</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0.0002</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NH3-N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0.4</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0.00002</w:t>
                  </w:r>
                </w:p>
              </w:tc>
              <w:tc>
                <w:tcPr>
                  <w:tcW w:w="625"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sz w:val="18"/>
                      <w:szCs w:val="18"/>
                    </w:rPr>
                  </w:pPr>
                  <w:r>
                    <w:rPr>
                      <w:sz w:val="18"/>
                      <w:szCs w:val="18"/>
                    </w:rPr>
                    <w:t>TP</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7.8</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0.0004</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TP</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1.26</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0.0001</w:t>
                  </w:r>
                </w:p>
              </w:tc>
              <w:tc>
                <w:tcPr>
                  <w:tcW w:w="625"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sz w:val="18"/>
                      <w:szCs w:val="18"/>
                    </w:rPr>
                  </w:pPr>
                  <w:r>
                    <w:rPr>
                      <w:rFonts w:hint="eastAsia"/>
                      <w:sz w:val="18"/>
                      <w:szCs w:val="18"/>
                    </w:rPr>
                    <w:t>TN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50</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0.0028</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TN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14.74</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0.0008</w:t>
                  </w:r>
                </w:p>
              </w:tc>
              <w:tc>
                <w:tcPr>
                  <w:tcW w:w="625"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sz w:val="18"/>
                      <w:szCs w:val="18"/>
                    </w:rPr>
                  </w:pPr>
                  <w:r>
                    <w:rPr>
                      <w:rFonts w:hint="eastAsia"/>
                      <w:sz w:val="18"/>
                      <w:szCs w:val="18"/>
                    </w:rPr>
                    <w:t>LAS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3.9</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0.0002</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LAS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1.77</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0.0001</w:t>
                  </w:r>
                </w:p>
              </w:tc>
              <w:tc>
                <w:tcPr>
                  <w:tcW w:w="625"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rFonts w:hint="eastAsia"/>
                      <w:sz w:val="18"/>
                      <w:szCs w:val="18"/>
                    </w:rPr>
                  </w:pPr>
                  <w:r>
                    <w:rPr>
                      <w:rFonts w:hint="eastAsia"/>
                      <w:sz w:val="18"/>
                      <w:szCs w:val="18"/>
                    </w:rPr>
                    <w:t>色度</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300倍</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色度</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35.28倍</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625"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14" w:type="dxa"/>
                  <w:vMerge w:val="restart"/>
                  <w:noWrap w:val="0"/>
                  <w:vAlign w:val="center"/>
                </w:tcPr>
                <w:p>
                  <w:pPr>
                    <w:jc w:val="center"/>
                    <w:textAlignment w:val="center"/>
                    <w:rPr>
                      <w:rFonts w:hint="eastAsia"/>
                      <w:kern w:val="0"/>
                      <w:sz w:val="18"/>
                      <w:szCs w:val="18"/>
                      <w:lang w:bidi="ar"/>
                    </w:rPr>
                  </w:pPr>
                  <w:r>
                    <w:rPr>
                      <w:rFonts w:hint="eastAsia"/>
                      <w:kern w:val="0"/>
                      <w:sz w:val="18"/>
                      <w:szCs w:val="18"/>
                      <w:lang w:bidi="ar"/>
                    </w:rPr>
                    <w:t>综合废水</w:t>
                  </w:r>
                </w:p>
              </w:tc>
              <w:tc>
                <w:tcPr>
                  <w:tcW w:w="478" w:type="dxa"/>
                  <w:vMerge w:val="restart"/>
                  <w:noWrap w:val="0"/>
                  <w:vAlign w:val="center"/>
                </w:tcPr>
                <w:p>
                  <w:pPr>
                    <w:jc w:val="center"/>
                    <w:textAlignment w:val="center"/>
                    <w:rPr>
                      <w:rFonts w:hint="eastAsia"/>
                      <w:kern w:val="0"/>
                      <w:sz w:val="18"/>
                      <w:szCs w:val="18"/>
                      <w:lang w:bidi="ar"/>
                    </w:rPr>
                  </w:pPr>
                  <w:r>
                    <w:rPr>
                      <w:rFonts w:hint="eastAsia"/>
                      <w:kern w:val="0"/>
                      <w:sz w:val="18"/>
                      <w:szCs w:val="18"/>
                      <w:lang w:bidi="ar"/>
                    </w:rPr>
                    <w:t>综合废水</w:t>
                  </w:r>
                </w:p>
              </w:tc>
              <w:tc>
                <w:tcPr>
                  <w:tcW w:w="756" w:type="dxa"/>
                  <w:vMerge w:val="restart"/>
                  <w:noWrap w:val="0"/>
                  <w:vAlign w:val="center"/>
                </w:tcPr>
                <w:p>
                  <w:pPr>
                    <w:jc w:val="center"/>
                    <w:textAlignment w:val="center"/>
                    <w:rPr>
                      <w:rFonts w:hint="default" w:eastAsia="宋体"/>
                      <w:kern w:val="0"/>
                      <w:sz w:val="18"/>
                      <w:szCs w:val="18"/>
                      <w:lang w:val="en-US" w:eastAsia="zh-CN" w:bidi="ar"/>
                    </w:rPr>
                  </w:pPr>
                  <w:r>
                    <w:rPr>
                      <w:rFonts w:hint="eastAsia"/>
                      <w:kern w:val="0"/>
                      <w:sz w:val="18"/>
                      <w:szCs w:val="18"/>
                      <w:lang w:val="en-US" w:eastAsia="zh-CN" w:bidi="ar"/>
                    </w:rPr>
                    <w:t>1601</w:t>
                  </w:r>
                </w:p>
              </w:tc>
              <w:tc>
                <w:tcPr>
                  <w:tcW w:w="798" w:type="dxa"/>
                  <w:noWrap w:val="0"/>
                  <w:vAlign w:val="center"/>
                </w:tcPr>
                <w:p>
                  <w:pPr>
                    <w:jc w:val="center"/>
                    <w:rPr>
                      <w:rFonts w:hint="eastAsia"/>
                      <w:sz w:val="18"/>
                      <w:szCs w:val="18"/>
                    </w:rPr>
                  </w:pPr>
                  <w:r>
                    <w:rPr>
                      <w:rFonts w:hint="eastAsia"/>
                      <w:sz w:val="18"/>
                      <w:szCs w:val="18"/>
                    </w:rPr>
                    <w:t>C</w:t>
                  </w:r>
                  <w:r>
                    <w:rPr>
                      <w:sz w:val="18"/>
                      <w:szCs w:val="18"/>
                    </w:rPr>
                    <w:t>OD</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845</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1.3528 </w:t>
                  </w:r>
                </w:p>
              </w:tc>
              <w:tc>
                <w:tcPr>
                  <w:tcW w:w="756" w:type="dxa"/>
                  <w:vMerge w:val="restart"/>
                  <w:noWrap w:val="0"/>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1601</w:t>
                  </w: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COD</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79.5</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0.1273 </w:t>
                  </w:r>
                </w:p>
              </w:tc>
              <w:tc>
                <w:tcPr>
                  <w:tcW w:w="625"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rFonts w:hint="eastAsia"/>
                      <w:sz w:val="18"/>
                      <w:szCs w:val="18"/>
                    </w:rPr>
                  </w:pPr>
                  <w:r>
                    <w:rPr>
                      <w:rFonts w:hint="eastAsia"/>
                      <w:sz w:val="18"/>
                      <w:szCs w:val="18"/>
                    </w:rPr>
                    <w:t>BOD</w:t>
                  </w:r>
                  <w:r>
                    <w:rPr>
                      <w:rFonts w:hint="eastAsia"/>
                      <w:sz w:val="18"/>
                      <w:szCs w:val="18"/>
                      <w:vertAlign w:val="subscript"/>
                    </w:rPr>
                    <w:t>5</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350</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0.5604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BOD5</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12.35</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0.0198 </w:t>
                  </w:r>
                </w:p>
              </w:tc>
              <w:tc>
                <w:tcPr>
                  <w:tcW w:w="625"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rFonts w:hint="eastAsia"/>
                      <w:sz w:val="18"/>
                      <w:szCs w:val="18"/>
                    </w:rPr>
                  </w:pPr>
                  <w:r>
                    <w:rPr>
                      <w:sz w:val="18"/>
                      <w:szCs w:val="18"/>
                    </w:rPr>
                    <w:t>SS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445</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0.7124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SS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24.92</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0.0399 </w:t>
                  </w:r>
                </w:p>
              </w:tc>
              <w:tc>
                <w:tcPr>
                  <w:tcW w:w="625"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rFonts w:hint="eastAsia"/>
                      <w:sz w:val="18"/>
                      <w:szCs w:val="18"/>
                    </w:rPr>
                  </w:pPr>
                  <w:r>
                    <w:rPr>
                      <w:sz w:val="18"/>
                      <w:szCs w:val="18"/>
                    </w:rPr>
                    <w:t>NH</w:t>
                  </w:r>
                  <w:r>
                    <w:rPr>
                      <w:sz w:val="18"/>
                      <w:szCs w:val="18"/>
                      <w:vertAlign w:val="subscript"/>
                    </w:rPr>
                    <w:t>3</w:t>
                  </w:r>
                  <w:r>
                    <w:rPr>
                      <w:sz w:val="18"/>
                      <w:szCs w:val="18"/>
                    </w:rPr>
                    <w:t>-N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3.5</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0.0056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NH3-N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0.4</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0.0006 </w:t>
                  </w:r>
                </w:p>
              </w:tc>
              <w:tc>
                <w:tcPr>
                  <w:tcW w:w="625"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rFonts w:hint="eastAsia"/>
                      <w:sz w:val="18"/>
                      <w:szCs w:val="18"/>
                    </w:rPr>
                  </w:pPr>
                  <w:r>
                    <w:rPr>
                      <w:sz w:val="18"/>
                      <w:szCs w:val="18"/>
                    </w:rPr>
                    <w:t>TP</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7.8</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0.0125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TP</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1.26</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0.0020 </w:t>
                  </w:r>
                </w:p>
              </w:tc>
              <w:tc>
                <w:tcPr>
                  <w:tcW w:w="625"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rFonts w:hint="eastAsia"/>
                      <w:sz w:val="18"/>
                      <w:szCs w:val="18"/>
                    </w:rPr>
                  </w:pPr>
                  <w:r>
                    <w:rPr>
                      <w:rFonts w:hint="eastAsia"/>
                      <w:sz w:val="18"/>
                      <w:szCs w:val="18"/>
                    </w:rPr>
                    <w:t>TN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50</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0.0801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TN</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14.74</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0.0236 </w:t>
                  </w:r>
                </w:p>
              </w:tc>
              <w:tc>
                <w:tcPr>
                  <w:tcW w:w="625"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rFonts w:hint="eastAsia"/>
                      <w:sz w:val="18"/>
                      <w:szCs w:val="18"/>
                    </w:rPr>
                  </w:pPr>
                  <w:r>
                    <w:rPr>
                      <w:rFonts w:hint="eastAsia"/>
                      <w:sz w:val="18"/>
                      <w:szCs w:val="18"/>
                    </w:rPr>
                    <w:t>LAS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3.9</w:t>
                  </w:r>
                </w:p>
              </w:tc>
              <w:tc>
                <w:tcPr>
                  <w:tcW w:w="942"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0.0062 </w:t>
                  </w:r>
                </w:p>
              </w:tc>
              <w:tc>
                <w:tcPr>
                  <w:tcW w:w="756" w:type="dxa"/>
                  <w:vMerge w:val="continue"/>
                  <w:noWrap w:val="0"/>
                  <w:vAlign w:val="center"/>
                </w:tcPr>
                <w:p>
                  <w:pPr>
                    <w:jc w:val="center"/>
                    <w:rPr>
                      <w:rFonts w:hint="eastAsia" w:ascii="Times New Roman" w:hAnsi="Times New Roman" w:eastAsia="宋体" w:cs="Times New Roman"/>
                      <w:kern w:val="0"/>
                      <w:sz w:val="18"/>
                      <w:szCs w:val="18"/>
                      <w:lang w:val="en-US" w:eastAsia="zh-CN"/>
                    </w:rPr>
                  </w:pPr>
                </w:p>
              </w:tc>
              <w:tc>
                <w:tcPr>
                  <w:tcW w:w="80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LAS</w:t>
                  </w:r>
                </w:p>
              </w:tc>
              <w:tc>
                <w:tcPr>
                  <w:tcW w:w="96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1.77</w:t>
                  </w:r>
                </w:p>
              </w:tc>
              <w:tc>
                <w:tcPr>
                  <w:tcW w:w="876"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0.0028 </w:t>
                  </w:r>
                </w:p>
              </w:tc>
              <w:tc>
                <w:tcPr>
                  <w:tcW w:w="625"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14" w:type="dxa"/>
                  <w:vMerge w:val="continue"/>
                  <w:noWrap w:val="0"/>
                  <w:vAlign w:val="center"/>
                </w:tcPr>
                <w:p>
                  <w:pPr>
                    <w:jc w:val="center"/>
                    <w:textAlignment w:val="center"/>
                    <w:rPr>
                      <w:rFonts w:hint="eastAsia"/>
                      <w:kern w:val="0"/>
                      <w:sz w:val="18"/>
                      <w:szCs w:val="18"/>
                      <w:lang w:bidi="ar"/>
                    </w:rPr>
                  </w:pPr>
                </w:p>
              </w:tc>
              <w:tc>
                <w:tcPr>
                  <w:tcW w:w="478" w:type="dxa"/>
                  <w:vMerge w:val="continue"/>
                  <w:noWrap w:val="0"/>
                  <w:vAlign w:val="center"/>
                </w:tcPr>
                <w:p>
                  <w:pPr>
                    <w:jc w:val="center"/>
                    <w:textAlignment w:val="center"/>
                    <w:rPr>
                      <w:rFonts w:hint="eastAsia"/>
                      <w:kern w:val="0"/>
                      <w:sz w:val="18"/>
                      <w:szCs w:val="18"/>
                      <w:lang w:bidi="ar"/>
                    </w:rPr>
                  </w:pPr>
                </w:p>
              </w:tc>
              <w:tc>
                <w:tcPr>
                  <w:tcW w:w="756" w:type="dxa"/>
                  <w:vMerge w:val="continue"/>
                  <w:noWrap w:val="0"/>
                  <w:vAlign w:val="center"/>
                </w:tcPr>
                <w:p>
                  <w:pPr>
                    <w:jc w:val="center"/>
                    <w:textAlignment w:val="center"/>
                    <w:rPr>
                      <w:rFonts w:hint="eastAsia"/>
                      <w:kern w:val="0"/>
                      <w:sz w:val="18"/>
                      <w:szCs w:val="18"/>
                      <w:lang w:bidi="ar"/>
                    </w:rPr>
                  </w:pPr>
                </w:p>
              </w:tc>
              <w:tc>
                <w:tcPr>
                  <w:tcW w:w="798" w:type="dxa"/>
                  <w:noWrap w:val="0"/>
                  <w:vAlign w:val="center"/>
                </w:tcPr>
                <w:p>
                  <w:pPr>
                    <w:jc w:val="center"/>
                    <w:rPr>
                      <w:rFonts w:hint="eastAsia"/>
                      <w:sz w:val="18"/>
                      <w:szCs w:val="18"/>
                    </w:rPr>
                  </w:pPr>
                  <w:r>
                    <w:rPr>
                      <w:rFonts w:hint="eastAsia"/>
                      <w:sz w:val="18"/>
                      <w:szCs w:val="18"/>
                    </w:rPr>
                    <w:t>色度</w:t>
                  </w:r>
                </w:p>
              </w:tc>
              <w:tc>
                <w:tcPr>
                  <w:tcW w:w="966"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300倍</w:t>
                  </w:r>
                </w:p>
              </w:tc>
              <w:tc>
                <w:tcPr>
                  <w:tcW w:w="942"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756" w:type="dxa"/>
                  <w:vMerge w:val="continue"/>
                  <w:noWrap w:val="0"/>
                  <w:vAlign w:val="center"/>
                </w:tcPr>
                <w:p>
                  <w:pPr>
                    <w:jc w:val="center"/>
                    <w:rPr>
                      <w:rFonts w:hint="eastAsia" w:ascii="Times New Roman" w:hAnsi="Times New Roman" w:eastAsia="宋体" w:cs="Times New Roman"/>
                      <w:kern w:val="0"/>
                      <w:sz w:val="18"/>
                      <w:szCs w:val="18"/>
                    </w:rPr>
                  </w:pPr>
                </w:p>
              </w:tc>
              <w:tc>
                <w:tcPr>
                  <w:tcW w:w="801"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色度</w:t>
                  </w:r>
                </w:p>
              </w:tc>
              <w:tc>
                <w:tcPr>
                  <w:tcW w:w="966"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35.28倍</w:t>
                  </w:r>
                </w:p>
              </w:tc>
              <w:tc>
                <w:tcPr>
                  <w:tcW w:w="876"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625"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79"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690"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26"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738" w:type="dxa"/>
                  <w:noWrap w:val="0"/>
                  <w:vAlign w:val="center"/>
                </w:tcPr>
                <w:p>
                  <w:pPr>
                    <w:jc w:val="center"/>
                    <w:textAlignment w:val="center"/>
                    <w:rPr>
                      <w:rFonts w:hint="eastAsia"/>
                      <w:kern w:val="0"/>
                      <w:sz w:val="18"/>
                      <w:szCs w:val="18"/>
                      <w:lang w:bidi="ar"/>
                    </w:rPr>
                  </w:pPr>
                  <w:r>
                    <w:rPr>
                      <w:rFonts w:hint="eastAsia"/>
                      <w:kern w:val="0"/>
                      <w:sz w:val="18"/>
                      <w:szCs w:val="18"/>
                      <w:lang w:bidi="ar"/>
                    </w:rPr>
                    <w:t>/</w:t>
                  </w:r>
                </w:p>
              </w:tc>
              <w:tc>
                <w:tcPr>
                  <w:tcW w:w="408" w:type="dxa"/>
                  <w:vMerge w:val="continue"/>
                  <w:noWrap w:val="0"/>
                  <w:vAlign w:val="center"/>
                </w:tcPr>
                <w:p>
                  <w:pPr>
                    <w:jc w:val="center"/>
                    <w:textAlignment w:val="center"/>
                    <w:rPr>
                      <w:kern w:val="0"/>
                      <w:sz w:val="18"/>
                      <w:szCs w:val="18"/>
                      <w:lang w:bidi="ar"/>
                    </w:rPr>
                  </w:pPr>
                </w:p>
              </w:tc>
              <w:tc>
                <w:tcPr>
                  <w:tcW w:w="738" w:type="dxa"/>
                  <w:vMerge w:val="continue"/>
                  <w:noWrap w:val="0"/>
                  <w:vAlign w:val="center"/>
                </w:tcPr>
                <w:p>
                  <w:pPr>
                    <w:jc w:val="center"/>
                    <w:textAlignment w:val="center"/>
                    <w:rPr>
                      <w:kern w:val="0"/>
                      <w:sz w:val="18"/>
                      <w:szCs w:val="18"/>
                      <w:lang w:bidi="ar"/>
                    </w:rPr>
                  </w:pPr>
                </w:p>
              </w:tc>
              <w:tc>
                <w:tcPr>
                  <w:tcW w:w="413" w:type="dxa"/>
                  <w:vMerge w:val="continue"/>
                  <w:noWrap w:val="0"/>
                  <w:vAlign w:val="center"/>
                </w:tcPr>
                <w:p>
                  <w:pPr>
                    <w:jc w:val="center"/>
                    <w:textAlignment w:val="center"/>
                    <w:rPr>
                      <w:kern w:val="0"/>
                      <w:sz w:val="18"/>
                      <w:szCs w:val="18"/>
                      <w:lang w:bidi="ar"/>
                    </w:rPr>
                  </w:pPr>
                </w:p>
              </w:tc>
            </w:tr>
          </w:tbl>
          <w:p>
            <w:pPr>
              <w:adjustRightInd w:val="0"/>
              <w:snapToGrid w:val="0"/>
              <w:spacing w:line="500" w:lineRule="exact"/>
              <w:ind w:firstLine="422" w:firstLineChars="200"/>
              <w:rPr>
                <w:rFonts w:hint="eastAsia"/>
                <w:b/>
                <w:color w:val="auto"/>
                <w:szCs w:val="21"/>
              </w:rPr>
            </w:pPr>
          </w:p>
          <w:p>
            <w:pPr>
              <w:adjustRightInd w:val="0"/>
              <w:snapToGrid w:val="0"/>
              <w:spacing w:line="500" w:lineRule="exact"/>
              <w:ind w:firstLine="422" w:firstLineChars="200"/>
              <w:rPr>
                <w:rFonts w:hint="eastAsia"/>
                <w:b/>
                <w:color w:val="auto"/>
                <w:szCs w:val="21"/>
              </w:rPr>
            </w:pPr>
          </w:p>
          <w:p>
            <w:pPr>
              <w:adjustRightInd w:val="0"/>
              <w:snapToGrid w:val="0"/>
              <w:spacing w:line="500" w:lineRule="exact"/>
              <w:ind w:firstLine="422" w:firstLineChars="200"/>
              <w:rPr>
                <w:rFonts w:hint="eastAsia"/>
                <w:b/>
                <w:color w:val="auto"/>
                <w:szCs w:val="21"/>
              </w:rPr>
            </w:pPr>
          </w:p>
          <w:p>
            <w:pPr>
              <w:adjustRightInd w:val="0"/>
              <w:snapToGrid w:val="0"/>
              <w:spacing w:line="500" w:lineRule="exact"/>
              <w:ind w:firstLine="422" w:firstLineChars="200"/>
              <w:rPr>
                <w:rFonts w:hint="eastAsia"/>
                <w:b/>
                <w:color w:val="auto"/>
                <w:szCs w:val="21"/>
              </w:rPr>
            </w:pPr>
          </w:p>
          <w:p>
            <w:pPr>
              <w:adjustRightInd w:val="0"/>
              <w:snapToGrid w:val="0"/>
              <w:spacing w:line="500" w:lineRule="exact"/>
              <w:rPr>
                <w:rFonts w:hint="eastAsia"/>
                <w:b/>
                <w:color w:val="auto"/>
                <w:szCs w:val="21"/>
              </w:rPr>
            </w:pPr>
          </w:p>
          <w:p>
            <w:pPr>
              <w:rPr>
                <w:vertAlign w:val="baseline"/>
              </w:rPr>
            </w:pPr>
          </w:p>
        </w:tc>
      </w:tr>
    </w:tbl>
    <w:p>
      <w:pPr>
        <w:rPr>
          <w:rFonts w:hint="eastAsia" w:eastAsia="宋体"/>
          <w:lang w:eastAsia="zh-CN"/>
        </w:rPr>
      </w:pPr>
    </w:p>
    <w:p>
      <w:pPr>
        <w:pStyle w:val="2"/>
        <w:rPr>
          <w:rFonts w:hint="eastAsia" w:eastAsia="宋体"/>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10"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szCs w:val="21"/>
              </w:rPr>
            </w:pPr>
            <w:r>
              <w:rPr>
                <w:rFonts w:hint="eastAsia" w:ascii="宋体" w:hAnsi="宋体" w:cs="宋体"/>
                <w:bCs/>
                <w:szCs w:val="21"/>
              </w:rPr>
              <w:t>运营</w:t>
            </w:r>
          </w:p>
          <w:p>
            <w:pPr>
              <w:adjustRightInd w:val="0"/>
              <w:snapToGrid w:val="0"/>
              <w:jc w:val="center"/>
              <w:rPr>
                <w:rFonts w:hint="eastAsia" w:ascii="宋体" w:hAnsi="宋体" w:cs="宋体"/>
                <w:bCs/>
                <w:szCs w:val="21"/>
              </w:rPr>
            </w:pPr>
            <w:r>
              <w:rPr>
                <w:rFonts w:hint="eastAsia" w:ascii="宋体" w:hAnsi="宋体" w:cs="宋体"/>
                <w:bCs/>
                <w:szCs w:val="21"/>
              </w:rPr>
              <w:t>期环</w:t>
            </w:r>
          </w:p>
          <w:p>
            <w:pPr>
              <w:adjustRightInd w:val="0"/>
              <w:snapToGrid w:val="0"/>
              <w:jc w:val="center"/>
              <w:rPr>
                <w:rFonts w:hint="eastAsia" w:ascii="宋体" w:hAnsi="宋体" w:cs="宋体"/>
                <w:bCs/>
                <w:szCs w:val="21"/>
              </w:rPr>
            </w:pPr>
            <w:r>
              <w:rPr>
                <w:rFonts w:hint="eastAsia" w:ascii="宋体" w:hAnsi="宋体" w:cs="宋体"/>
                <w:bCs/>
                <w:szCs w:val="21"/>
              </w:rPr>
              <w:t>境影</w:t>
            </w:r>
          </w:p>
          <w:p>
            <w:pPr>
              <w:adjustRightInd w:val="0"/>
              <w:snapToGrid w:val="0"/>
              <w:jc w:val="center"/>
              <w:rPr>
                <w:rFonts w:hint="eastAsia" w:ascii="宋体" w:hAnsi="宋体" w:cs="宋体"/>
                <w:bCs/>
                <w:szCs w:val="21"/>
              </w:rPr>
            </w:pPr>
            <w:r>
              <w:rPr>
                <w:rFonts w:hint="eastAsia" w:ascii="宋体" w:hAnsi="宋体" w:cs="宋体"/>
                <w:bCs/>
                <w:szCs w:val="21"/>
              </w:rPr>
              <w:t>响和</w:t>
            </w:r>
          </w:p>
          <w:p>
            <w:pPr>
              <w:adjustRightInd w:val="0"/>
              <w:snapToGrid w:val="0"/>
              <w:jc w:val="center"/>
              <w:rPr>
                <w:rFonts w:hint="eastAsia"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162" w:type="dxa"/>
            <w:noWrap w:val="0"/>
            <w:vAlign w:val="center"/>
          </w:tcPr>
          <w:p>
            <w:pPr>
              <w:spacing w:line="500" w:lineRule="exact"/>
              <w:ind w:firstLine="422" w:firstLineChars="200"/>
              <w:rPr>
                <w:rFonts w:hint="eastAsia"/>
                <w:b/>
                <w:bCs/>
                <w:szCs w:val="21"/>
              </w:rPr>
            </w:pPr>
            <w:r>
              <w:rPr>
                <w:rFonts w:hint="eastAsia"/>
                <w:b/>
                <w:bCs/>
                <w:szCs w:val="21"/>
              </w:rPr>
              <w:t>2、</w:t>
            </w:r>
            <w:r>
              <w:rPr>
                <w:b/>
                <w:bCs/>
                <w:szCs w:val="21"/>
              </w:rPr>
              <w:t>废水污染治理设施可行性分析</w:t>
            </w:r>
          </w:p>
          <w:p>
            <w:pPr>
              <w:spacing w:line="500" w:lineRule="exact"/>
              <w:ind w:firstLine="420" w:firstLineChars="200"/>
              <w:jc w:val="left"/>
            </w:pPr>
            <w:r>
              <w:rPr>
                <w:rFonts w:hint="eastAsia"/>
              </w:rPr>
              <w:t>（</w:t>
            </w:r>
            <w:r>
              <w:t>1）废水处理可行性分析</w:t>
            </w:r>
          </w:p>
          <w:p>
            <w:pPr>
              <w:spacing w:line="500" w:lineRule="exact"/>
              <w:ind w:firstLine="420" w:firstLineChars="200"/>
              <w:jc w:val="left"/>
              <w:rPr>
                <w:rFonts w:hint="eastAsia"/>
              </w:rPr>
            </w:pPr>
            <w:r>
              <w:t>本项目</w:t>
            </w:r>
            <w:r>
              <w:rPr>
                <w:rFonts w:hint="eastAsia"/>
              </w:rPr>
              <w:t>蒸汽冷凝水回用于洗衣工序，</w:t>
            </w:r>
            <w:r>
              <w:rPr>
                <w:rFonts w:hint="eastAsia"/>
                <w:lang w:eastAsia="zh-CN"/>
              </w:rPr>
              <w:t>洗衣废水、柔软废水、脱水废水、</w:t>
            </w:r>
            <w:r>
              <w:t>经厂内污水处理站处理达标后，接管至</w:t>
            </w:r>
            <w:r>
              <w:rPr>
                <w:rFonts w:hint="eastAsia"/>
                <w:lang w:eastAsia="zh-CN"/>
              </w:rPr>
              <w:t>启东城市污水处理厂处理</w:t>
            </w:r>
            <w:r>
              <w:t>。</w:t>
            </w:r>
          </w:p>
          <w:p>
            <w:pPr>
              <w:autoSpaceDE w:val="0"/>
              <w:autoSpaceDN w:val="0"/>
              <w:adjustRightInd w:val="0"/>
              <w:spacing w:line="500" w:lineRule="exact"/>
              <w:ind w:firstLine="420" w:firstLineChars="200"/>
              <w:jc w:val="left"/>
              <w:rPr>
                <w:rFonts w:hint="eastAsia"/>
              </w:rPr>
            </w:pPr>
            <w:r>
              <w:t>污水处理设施</w:t>
            </w:r>
            <w:r>
              <w:rPr>
                <w:rFonts w:hint="eastAsia"/>
              </w:rPr>
              <w:t>处理工艺流程见图4-3。预处理效果见表4</w:t>
            </w:r>
            <w:r>
              <w:t>-</w:t>
            </w:r>
            <w:r>
              <w:rPr>
                <w:rFonts w:hint="eastAsia"/>
              </w:rPr>
              <w:t>4。</w:t>
            </w:r>
          </w:p>
          <w:p>
            <w:pPr>
              <w:pStyle w:val="3"/>
              <w:jc w:val="center"/>
            </w:pPr>
            <w:r>
              <w:drawing>
                <wp:inline distT="0" distB="0" distL="114300" distR="114300">
                  <wp:extent cx="4010025" cy="5619750"/>
                  <wp:effectExtent l="0" t="0" r="9525" b="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2"/>
                          <a:stretch>
                            <a:fillRect/>
                          </a:stretch>
                        </pic:blipFill>
                        <pic:spPr>
                          <a:xfrm>
                            <a:off x="0" y="0"/>
                            <a:ext cx="4010025" cy="5619750"/>
                          </a:xfrm>
                          <a:prstGeom prst="rect">
                            <a:avLst/>
                          </a:prstGeom>
                          <a:noFill/>
                          <a:ln>
                            <a:noFill/>
                          </a:ln>
                        </pic:spPr>
                      </pic:pic>
                    </a:graphicData>
                  </a:graphic>
                </wp:inline>
              </w:drawing>
            </w:r>
          </w:p>
          <w:p>
            <w:pPr>
              <w:adjustRightInd w:val="0"/>
              <w:snapToGrid w:val="0"/>
              <w:spacing w:line="360" w:lineRule="auto"/>
              <w:jc w:val="center"/>
              <w:rPr>
                <w:b/>
                <w:bCs/>
                <w:szCs w:val="21"/>
              </w:rPr>
            </w:pPr>
            <w:r>
              <w:rPr>
                <w:b/>
                <w:bCs/>
                <w:szCs w:val="21"/>
              </w:rPr>
              <w:t>图</w:t>
            </w:r>
            <w:r>
              <w:rPr>
                <w:rFonts w:hint="eastAsia"/>
                <w:b/>
                <w:bCs/>
                <w:szCs w:val="21"/>
              </w:rPr>
              <w:t>4</w:t>
            </w:r>
            <w:r>
              <w:rPr>
                <w:b/>
                <w:bCs/>
                <w:szCs w:val="21"/>
              </w:rPr>
              <w:t>-</w:t>
            </w:r>
            <w:r>
              <w:rPr>
                <w:rFonts w:hint="eastAsia"/>
                <w:b/>
                <w:bCs/>
                <w:szCs w:val="21"/>
              </w:rPr>
              <w:t>3</w:t>
            </w:r>
            <w:r>
              <w:rPr>
                <w:b/>
                <w:bCs/>
                <w:szCs w:val="21"/>
              </w:rPr>
              <w:t xml:space="preserve">  </w:t>
            </w:r>
            <w:r>
              <w:rPr>
                <w:rFonts w:hint="eastAsia"/>
                <w:b/>
                <w:bCs/>
                <w:szCs w:val="21"/>
              </w:rPr>
              <w:t>厂内污水处理设施工艺流程图</w:t>
            </w:r>
          </w:p>
          <w:p>
            <w:pPr>
              <w:spacing w:line="360" w:lineRule="auto"/>
              <w:jc w:val="left"/>
            </w:pPr>
            <w:r>
              <w:t>厂内污水处理设施工艺流程简介：</w:t>
            </w:r>
          </w:p>
          <w:p>
            <w:pPr>
              <w:spacing w:line="360" w:lineRule="auto"/>
              <w:ind w:firstLine="420" w:firstLineChars="200"/>
              <w:jc w:val="left"/>
            </w:pPr>
            <w:r>
              <w:rPr>
                <w:rFonts w:hint="eastAsia"/>
              </w:rPr>
              <w:t>生产过程中产生的车间废水经过车间管道后进入格栅池去除大颗粒固体废料然后进入调节池进行水质水量调节，调节池水用泵抽入混凝沉淀反应池，混凝沉淀出水和生活污水通过化粪池一并进入水解酸化池进行水解酸化，大分子有机物经水解酸化后，生成小分子有机物，可生化性较好，即水解酸化可以改变原污水的可生化性，从而减少反应时问和处理能耗，水解酸化废水进入接触氧化池后经过充氧的废水与长满生物膜的填料相接触，在生物膜的作用下废水得到净化。接触氧化池出水流入二沉池进行泥水分离，流入中间水池，中间水池出水通过多介质过滤器处理后达到染整行业排放标准排放。混凝沉淀池的污泥排入污泥池，二沉池一部分回流至生化系统一部分排入污泥池。污泥池污泥用泵打入板框压滤机进行脱水处理，经过脱水处理后的干泥进行外运处理，滤液回流入隔油调节池。</w:t>
            </w:r>
          </w:p>
          <w:p>
            <w:pPr>
              <w:spacing w:line="360" w:lineRule="auto"/>
              <w:ind w:firstLine="420" w:firstLineChars="200"/>
              <w:rPr>
                <w:szCs w:val="21"/>
              </w:rPr>
            </w:pPr>
            <w:r>
              <w:rPr>
                <w:szCs w:val="21"/>
              </w:rPr>
              <w:t>参考《排放源统计调查产排污核算方法和系数手册》中“1819其他机织服装制造行业系数手册”，成衣水洗行业工业废水量88.06t/吨-产品、COD产生量74467.39g/吨-产品、NH</w:t>
            </w:r>
            <w:r>
              <w:rPr>
                <w:szCs w:val="21"/>
                <w:vertAlign w:val="subscript"/>
              </w:rPr>
              <w:t>3</w:t>
            </w:r>
            <w:r>
              <w:rPr>
                <w:szCs w:val="21"/>
              </w:rPr>
              <w:t>-N产生量310.56g/吨-产品、TN产生量2288.71g/吨产品，TP687.87g/吨-产品据此可推算出成衣水洗废水中COD产生浓度845mg/L、NH</w:t>
            </w:r>
            <w:r>
              <w:rPr>
                <w:szCs w:val="21"/>
                <w:vertAlign w:val="subscript"/>
              </w:rPr>
              <w:t>3</w:t>
            </w:r>
            <w:r>
              <w:rPr>
                <w:szCs w:val="21"/>
              </w:rPr>
              <w:t>-N产生浓度3.5mg/L、TN产生浓度26mg/L、TP产生浓度7.8mg/L，另参考《洗衣废水处理工程实践》（朱健，王平，罗文年）中成衣服装水洗废水水质：pH 4~7、BOD</w:t>
            </w:r>
            <w:r>
              <w:rPr>
                <w:szCs w:val="21"/>
                <w:vertAlign w:val="subscript"/>
              </w:rPr>
              <w:t>5</w:t>
            </w:r>
            <w:r>
              <w:rPr>
                <w:szCs w:val="21"/>
              </w:rPr>
              <w:t>350mg/L、SS445mg/L、色度（稀释倍数）300 倍、LAS 3.9mg/L。</w:t>
            </w:r>
          </w:p>
          <w:p>
            <w:pPr>
              <w:adjustRightInd w:val="0"/>
              <w:snapToGrid w:val="0"/>
              <w:spacing w:line="360" w:lineRule="auto"/>
              <w:jc w:val="center"/>
              <w:rPr>
                <w:b/>
                <w:bCs/>
                <w:szCs w:val="21"/>
              </w:rPr>
            </w:pPr>
            <w:r>
              <w:rPr>
                <w:b/>
                <w:bCs/>
                <w:szCs w:val="21"/>
              </w:rPr>
              <w:t>表</w:t>
            </w:r>
            <w:r>
              <w:rPr>
                <w:rFonts w:hint="eastAsia"/>
                <w:b/>
                <w:bCs/>
                <w:szCs w:val="21"/>
              </w:rPr>
              <w:t xml:space="preserve">4-6 </w:t>
            </w:r>
            <w:r>
              <w:rPr>
                <w:b/>
                <w:bCs/>
                <w:szCs w:val="21"/>
              </w:rPr>
              <w:t xml:space="preserve"> 预处理效果分析表</w:t>
            </w:r>
          </w:p>
          <w:tbl>
            <w:tblPr>
              <w:tblStyle w:val="11"/>
              <w:tblW w:w="799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Layout w:type="fixed"/>
              <w:tblCellMar>
                <w:top w:w="0" w:type="dxa"/>
                <w:left w:w="108" w:type="dxa"/>
                <w:bottom w:w="0" w:type="dxa"/>
                <w:right w:w="108" w:type="dxa"/>
              </w:tblCellMar>
            </w:tblPr>
            <w:tblGrid>
              <w:gridCol w:w="561"/>
              <w:gridCol w:w="1172"/>
              <w:gridCol w:w="984"/>
              <w:gridCol w:w="768"/>
              <w:gridCol w:w="768"/>
              <w:gridCol w:w="768"/>
              <w:gridCol w:w="744"/>
              <w:gridCol w:w="744"/>
              <w:gridCol w:w="744"/>
              <w:gridCol w:w="74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26" w:hRule="atLeast"/>
                <w:jc w:val="center"/>
              </w:trPr>
              <w:tc>
                <w:tcPr>
                  <w:tcW w:w="1082" w:type="pct"/>
                  <w:gridSpan w:val="2"/>
                  <w:noWrap w:val="0"/>
                  <w:vAlign w:val="center"/>
                </w:tcPr>
                <w:p>
                  <w:pPr>
                    <w:adjustRightInd w:val="0"/>
                    <w:snapToGrid w:val="0"/>
                    <w:jc w:val="center"/>
                    <w:rPr>
                      <w:b/>
                      <w:sz w:val="18"/>
                      <w:szCs w:val="18"/>
                    </w:rPr>
                  </w:pPr>
                  <w:r>
                    <w:rPr>
                      <w:b/>
                      <w:sz w:val="18"/>
                      <w:szCs w:val="18"/>
                    </w:rPr>
                    <w:t>处理单元</w:t>
                  </w:r>
                </w:p>
              </w:tc>
              <w:tc>
                <w:tcPr>
                  <w:tcW w:w="615" w:type="pct"/>
                  <w:noWrap w:val="0"/>
                  <w:vAlign w:val="center"/>
                </w:tcPr>
                <w:p>
                  <w:pPr>
                    <w:adjustRightInd w:val="0"/>
                    <w:snapToGrid w:val="0"/>
                    <w:jc w:val="center"/>
                    <w:rPr>
                      <w:b/>
                      <w:sz w:val="18"/>
                      <w:szCs w:val="18"/>
                    </w:rPr>
                  </w:pPr>
                  <w:r>
                    <w:rPr>
                      <w:b/>
                      <w:sz w:val="18"/>
                      <w:szCs w:val="18"/>
                    </w:rPr>
                    <w:t>COD</w:t>
                  </w:r>
                </w:p>
              </w:tc>
              <w:tc>
                <w:tcPr>
                  <w:tcW w:w="480" w:type="pct"/>
                  <w:noWrap w:val="0"/>
                  <w:vAlign w:val="center"/>
                </w:tcPr>
                <w:p>
                  <w:pPr>
                    <w:adjustRightInd w:val="0"/>
                    <w:snapToGrid w:val="0"/>
                    <w:jc w:val="center"/>
                    <w:rPr>
                      <w:b/>
                      <w:sz w:val="18"/>
                      <w:szCs w:val="18"/>
                    </w:rPr>
                  </w:pPr>
                  <w:r>
                    <w:rPr>
                      <w:rFonts w:hint="eastAsia"/>
                      <w:b/>
                      <w:sz w:val="18"/>
                      <w:szCs w:val="18"/>
                    </w:rPr>
                    <w:t>BOD</w:t>
                  </w:r>
                  <w:r>
                    <w:rPr>
                      <w:rFonts w:hint="eastAsia"/>
                      <w:b/>
                      <w:sz w:val="18"/>
                      <w:szCs w:val="18"/>
                      <w:vertAlign w:val="subscript"/>
                    </w:rPr>
                    <w:t>5</w:t>
                  </w:r>
                </w:p>
              </w:tc>
              <w:tc>
                <w:tcPr>
                  <w:tcW w:w="480" w:type="pct"/>
                  <w:noWrap w:val="0"/>
                  <w:vAlign w:val="center"/>
                </w:tcPr>
                <w:p>
                  <w:pPr>
                    <w:adjustRightInd w:val="0"/>
                    <w:snapToGrid w:val="0"/>
                    <w:jc w:val="center"/>
                    <w:rPr>
                      <w:b/>
                      <w:sz w:val="18"/>
                      <w:szCs w:val="18"/>
                    </w:rPr>
                  </w:pPr>
                  <w:r>
                    <w:rPr>
                      <w:b/>
                      <w:sz w:val="18"/>
                      <w:szCs w:val="18"/>
                    </w:rPr>
                    <w:t>SS</w:t>
                  </w:r>
                </w:p>
              </w:tc>
              <w:tc>
                <w:tcPr>
                  <w:tcW w:w="480" w:type="pct"/>
                  <w:noWrap w:val="0"/>
                  <w:vAlign w:val="center"/>
                </w:tcPr>
                <w:p>
                  <w:pPr>
                    <w:adjustRightInd w:val="0"/>
                    <w:snapToGrid w:val="0"/>
                    <w:jc w:val="center"/>
                    <w:rPr>
                      <w:b/>
                      <w:sz w:val="18"/>
                      <w:szCs w:val="18"/>
                    </w:rPr>
                  </w:pPr>
                  <w:r>
                    <w:rPr>
                      <w:b/>
                      <w:sz w:val="18"/>
                      <w:szCs w:val="18"/>
                    </w:rPr>
                    <w:t>NH</w:t>
                  </w:r>
                  <w:r>
                    <w:rPr>
                      <w:b/>
                      <w:sz w:val="18"/>
                      <w:szCs w:val="18"/>
                      <w:vertAlign w:val="subscript"/>
                    </w:rPr>
                    <w:t>3</w:t>
                  </w:r>
                  <w:r>
                    <w:rPr>
                      <w:b/>
                      <w:sz w:val="18"/>
                      <w:szCs w:val="18"/>
                    </w:rPr>
                    <w:t>-N</w:t>
                  </w:r>
                </w:p>
              </w:tc>
              <w:tc>
                <w:tcPr>
                  <w:tcW w:w="465" w:type="pct"/>
                  <w:noWrap w:val="0"/>
                  <w:vAlign w:val="center"/>
                </w:tcPr>
                <w:p>
                  <w:pPr>
                    <w:adjustRightInd w:val="0"/>
                    <w:snapToGrid w:val="0"/>
                    <w:jc w:val="center"/>
                    <w:rPr>
                      <w:b/>
                      <w:sz w:val="18"/>
                      <w:szCs w:val="18"/>
                    </w:rPr>
                  </w:pPr>
                  <w:r>
                    <w:rPr>
                      <w:rFonts w:hint="eastAsia"/>
                      <w:b/>
                      <w:sz w:val="18"/>
                      <w:szCs w:val="18"/>
                    </w:rPr>
                    <w:t>TP</w:t>
                  </w:r>
                </w:p>
              </w:tc>
              <w:tc>
                <w:tcPr>
                  <w:tcW w:w="465" w:type="pct"/>
                  <w:noWrap w:val="0"/>
                  <w:vAlign w:val="center"/>
                </w:tcPr>
                <w:p>
                  <w:pPr>
                    <w:adjustRightInd w:val="0"/>
                    <w:snapToGrid w:val="0"/>
                    <w:jc w:val="center"/>
                    <w:rPr>
                      <w:b/>
                      <w:sz w:val="18"/>
                      <w:szCs w:val="18"/>
                    </w:rPr>
                  </w:pPr>
                  <w:r>
                    <w:rPr>
                      <w:rFonts w:hint="eastAsia"/>
                      <w:b/>
                      <w:sz w:val="18"/>
                      <w:szCs w:val="18"/>
                    </w:rPr>
                    <w:t>TN</w:t>
                  </w:r>
                </w:p>
              </w:tc>
              <w:tc>
                <w:tcPr>
                  <w:tcW w:w="465" w:type="pct"/>
                  <w:noWrap w:val="0"/>
                  <w:vAlign w:val="center"/>
                </w:tcPr>
                <w:p>
                  <w:pPr>
                    <w:adjustRightInd w:val="0"/>
                    <w:snapToGrid w:val="0"/>
                    <w:jc w:val="center"/>
                    <w:rPr>
                      <w:b/>
                      <w:sz w:val="18"/>
                      <w:szCs w:val="18"/>
                    </w:rPr>
                  </w:pPr>
                  <w:r>
                    <w:rPr>
                      <w:rFonts w:hint="eastAsia"/>
                      <w:b/>
                      <w:sz w:val="18"/>
                      <w:szCs w:val="18"/>
                    </w:rPr>
                    <w:t>LAS</w:t>
                  </w:r>
                </w:p>
              </w:tc>
              <w:tc>
                <w:tcPr>
                  <w:tcW w:w="465" w:type="pct"/>
                  <w:noWrap w:val="0"/>
                  <w:vAlign w:val="center"/>
                </w:tcPr>
                <w:p>
                  <w:pPr>
                    <w:adjustRightInd w:val="0"/>
                    <w:snapToGrid w:val="0"/>
                    <w:jc w:val="center"/>
                    <w:rPr>
                      <w:b/>
                      <w:sz w:val="18"/>
                      <w:szCs w:val="18"/>
                    </w:rPr>
                  </w:pPr>
                  <w:r>
                    <w:rPr>
                      <w:rFonts w:hint="eastAsia"/>
                      <w:b/>
                      <w:sz w:val="18"/>
                      <w:szCs w:val="18"/>
                    </w:rPr>
                    <w:t>色度（倍）</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restart"/>
                  <w:noWrap w:val="0"/>
                  <w:vAlign w:val="center"/>
                </w:tcPr>
                <w:p>
                  <w:pPr>
                    <w:adjustRightInd w:val="0"/>
                    <w:snapToGrid w:val="0"/>
                    <w:jc w:val="center"/>
                    <w:rPr>
                      <w:rFonts w:hint="eastAsia" w:eastAsia="宋体"/>
                      <w:sz w:val="18"/>
                      <w:szCs w:val="18"/>
                      <w:lang w:eastAsia="zh-CN"/>
                    </w:rPr>
                  </w:pPr>
                  <w:r>
                    <w:rPr>
                      <w:rFonts w:hint="eastAsia"/>
                      <w:sz w:val="18"/>
                      <w:szCs w:val="18"/>
                      <w:lang w:eastAsia="zh-CN"/>
                    </w:rPr>
                    <w:t>调节、格栅</w:t>
                  </w:r>
                </w:p>
              </w:tc>
              <w:tc>
                <w:tcPr>
                  <w:tcW w:w="732" w:type="pct"/>
                  <w:noWrap w:val="0"/>
                  <w:vAlign w:val="center"/>
                </w:tcPr>
                <w:p>
                  <w:pPr>
                    <w:adjustRightInd w:val="0"/>
                    <w:snapToGrid w:val="0"/>
                    <w:jc w:val="center"/>
                    <w:rPr>
                      <w:sz w:val="18"/>
                      <w:szCs w:val="18"/>
                    </w:rPr>
                  </w:pPr>
                  <w:r>
                    <w:rPr>
                      <w:sz w:val="18"/>
                      <w:szCs w:val="18"/>
                    </w:rPr>
                    <w:t>进水浓度（mg/L）</w:t>
                  </w:r>
                </w:p>
              </w:tc>
              <w:tc>
                <w:tcPr>
                  <w:tcW w:w="615" w:type="pct"/>
                  <w:noWrap w:val="0"/>
                  <w:vAlign w:val="center"/>
                </w:tcPr>
                <w:p>
                  <w:pPr>
                    <w:adjustRightInd w:val="0"/>
                    <w:snapToGrid w:val="0"/>
                    <w:jc w:val="center"/>
                    <w:rPr>
                      <w:sz w:val="18"/>
                      <w:szCs w:val="18"/>
                    </w:rPr>
                  </w:pPr>
                  <w:r>
                    <w:rPr>
                      <w:rFonts w:hint="eastAsia"/>
                      <w:sz w:val="18"/>
                      <w:szCs w:val="18"/>
                    </w:rPr>
                    <w:t>845</w:t>
                  </w:r>
                </w:p>
              </w:tc>
              <w:tc>
                <w:tcPr>
                  <w:tcW w:w="480" w:type="pct"/>
                  <w:noWrap w:val="0"/>
                  <w:vAlign w:val="center"/>
                </w:tcPr>
                <w:p>
                  <w:pPr>
                    <w:adjustRightInd w:val="0"/>
                    <w:snapToGrid w:val="0"/>
                    <w:jc w:val="center"/>
                    <w:rPr>
                      <w:sz w:val="18"/>
                      <w:szCs w:val="18"/>
                    </w:rPr>
                  </w:pPr>
                  <w:r>
                    <w:rPr>
                      <w:rFonts w:hint="eastAsia"/>
                      <w:sz w:val="18"/>
                      <w:szCs w:val="18"/>
                    </w:rPr>
                    <w:t>350</w:t>
                  </w:r>
                </w:p>
              </w:tc>
              <w:tc>
                <w:tcPr>
                  <w:tcW w:w="480" w:type="pct"/>
                  <w:noWrap w:val="0"/>
                  <w:vAlign w:val="center"/>
                </w:tcPr>
                <w:p>
                  <w:pPr>
                    <w:adjustRightInd w:val="0"/>
                    <w:snapToGrid w:val="0"/>
                    <w:jc w:val="center"/>
                    <w:rPr>
                      <w:sz w:val="18"/>
                      <w:szCs w:val="18"/>
                    </w:rPr>
                  </w:pPr>
                  <w:r>
                    <w:rPr>
                      <w:rFonts w:hint="eastAsia"/>
                      <w:sz w:val="18"/>
                      <w:szCs w:val="18"/>
                    </w:rPr>
                    <w:t>445</w:t>
                  </w:r>
                </w:p>
              </w:tc>
              <w:tc>
                <w:tcPr>
                  <w:tcW w:w="480" w:type="pct"/>
                  <w:noWrap w:val="0"/>
                  <w:vAlign w:val="center"/>
                </w:tcPr>
                <w:p>
                  <w:pPr>
                    <w:adjustRightInd w:val="0"/>
                    <w:snapToGrid w:val="0"/>
                    <w:jc w:val="center"/>
                    <w:rPr>
                      <w:sz w:val="18"/>
                      <w:szCs w:val="18"/>
                    </w:rPr>
                  </w:pPr>
                  <w:r>
                    <w:rPr>
                      <w:rFonts w:hint="eastAsia"/>
                      <w:sz w:val="18"/>
                      <w:szCs w:val="18"/>
                    </w:rPr>
                    <w:t>3.5</w:t>
                  </w:r>
                </w:p>
              </w:tc>
              <w:tc>
                <w:tcPr>
                  <w:tcW w:w="465" w:type="pct"/>
                  <w:noWrap w:val="0"/>
                  <w:vAlign w:val="center"/>
                </w:tcPr>
                <w:p>
                  <w:pPr>
                    <w:adjustRightInd w:val="0"/>
                    <w:snapToGrid w:val="0"/>
                    <w:jc w:val="center"/>
                    <w:rPr>
                      <w:sz w:val="18"/>
                      <w:szCs w:val="18"/>
                    </w:rPr>
                  </w:pPr>
                  <w:r>
                    <w:rPr>
                      <w:rFonts w:hint="eastAsia"/>
                      <w:sz w:val="18"/>
                      <w:szCs w:val="18"/>
                    </w:rPr>
                    <w:t>7.8</w:t>
                  </w:r>
                </w:p>
              </w:tc>
              <w:tc>
                <w:tcPr>
                  <w:tcW w:w="465" w:type="pct"/>
                  <w:noWrap w:val="0"/>
                  <w:vAlign w:val="center"/>
                </w:tcPr>
                <w:p>
                  <w:pPr>
                    <w:adjustRightInd w:val="0"/>
                    <w:snapToGrid w:val="0"/>
                    <w:jc w:val="center"/>
                    <w:rPr>
                      <w:sz w:val="18"/>
                      <w:szCs w:val="18"/>
                    </w:rPr>
                  </w:pPr>
                  <w:r>
                    <w:rPr>
                      <w:rFonts w:hint="eastAsia"/>
                      <w:sz w:val="18"/>
                      <w:szCs w:val="18"/>
                    </w:rPr>
                    <w:t>26</w:t>
                  </w:r>
                </w:p>
              </w:tc>
              <w:tc>
                <w:tcPr>
                  <w:tcW w:w="465" w:type="pct"/>
                  <w:noWrap w:val="0"/>
                  <w:vAlign w:val="center"/>
                </w:tcPr>
                <w:p>
                  <w:pPr>
                    <w:adjustRightInd w:val="0"/>
                    <w:snapToGrid w:val="0"/>
                    <w:jc w:val="center"/>
                    <w:rPr>
                      <w:sz w:val="18"/>
                      <w:szCs w:val="18"/>
                    </w:rPr>
                  </w:pPr>
                  <w:r>
                    <w:rPr>
                      <w:rFonts w:hint="eastAsia"/>
                      <w:sz w:val="18"/>
                      <w:szCs w:val="18"/>
                    </w:rPr>
                    <w:t>3.9</w:t>
                  </w:r>
                </w:p>
              </w:tc>
              <w:tc>
                <w:tcPr>
                  <w:tcW w:w="465" w:type="pct"/>
                  <w:noWrap w:val="0"/>
                  <w:vAlign w:val="center"/>
                </w:tcPr>
                <w:p>
                  <w:pPr>
                    <w:adjustRightInd w:val="0"/>
                    <w:snapToGrid w:val="0"/>
                    <w:jc w:val="center"/>
                    <w:rPr>
                      <w:sz w:val="18"/>
                      <w:szCs w:val="18"/>
                    </w:rPr>
                  </w:pPr>
                  <w:r>
                    <w:rPr>
                      <w:rFonts w:hint="eastAsia"/>
                      <w:sz w:val="18"/>
                      <w:szCs w:val="18"/>
                    </w:rPr>
                    <w:t>300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382" w:hRule="atLeast"/>
                <w:jc w:val="center"/>
              </w:trPr>
              <w:tc>
                <w:tcPr>
                  <w:tcW w:w="350" w:type="pct"/>
                  <w:vMerge w:val="continue"/>
                  <w:noWrap w:val="0"/>
                  <w:vAlign w:val="center"/>
                </w:tcPr>
                <w:p>
                  <w:pPr>
                    <w:adjustRightInd w:val="0"/>
                    <w:snapToGrid w:val="0"/>
                    <w:jc w:val="center"/>
                    <w:rPr>
                      <w:sz w:val="18"/>
                      <w:szCs w:val="18"/>
                    </w:rPr>
                  </w:pPr>
                </w:p>
              </w:tc>
              <w:tc>
                <w:tcPr>
                  <w:tcW w:w="732" w:type="pct"/>
                  <w:noWrap w:val="0"/>
                  <w:vAlign w:val="center"/>
                </w:tcPr>
                <w:p>
                  <w:pPr>
                    <w:adjustRightInd w:val="0"/>
                    <w:snapToGrid w:val="0"/>
                    <w:jc w:val="center"/>
                    <w:rPr>
                      <w:rFonts w:hint="eastAsia"/>
                      <w:sz w:val="18"/>
                      <w:szCs w:val="18"/>
                    </w:rPr>
                  </w:pPr>
                  <w:r>
                    <w:rPr>
                      <w:sz w:val="18"/>
                      <w:szCs w:val="18"/>
                    </w:rPr>
                    <w:t>去除率</w:t>
                  </w:r>
                  <w:r>
                    <w:rPr>
                      <w:rFonts w:hint="eastAsia"/>
                      <w:sz w:val="18"/>
                      <w:szCs w:val="18"/>
                    </w:rPr>
                    <w:t>%</w:t>
                  </w:r>
                </w:p>
              </w:tc>
              <w:tc>
                <w:tcPr>
                  <w:tcW w:w="615" w:type="pct"/>
                  <w:noWrap w:val="0"/>
                  <w:vAlign w:val="center"/>
                </w:tcPr>
                <w:p>
                  <w:pPr>
                    <w:adjustRightInd w:val="0"/>
                    <w:snapToGrid w:val="0"/>
                    <w:jc w:val="center"/>
                    <w:rPr>
                      <w:sz w:val="18"/>
                      <w:szCs w:val="18"/>
                    </w:rPr>
                  </w:pPr>
                  <w:r>
                    <w:rPr>
                      <w:rFonts w:hint="eastAsia"/>
                      <w:sz w:val="18"/>
                      <w:szCs w:val="18"/>
                    </w:rPr>
                    <w:t>30</w:t>
                  </w:r>
                </w:p>
              </w:tc>
              <w:tc>
                <w:tcPr>
                  <w:tcW w:w="480" w:type="pct"/>
                  <w:noWrap w:val="0"/>
                  <w:vAlign w:val="center"/>
                </w:tcPr>
                <w:p>
                  <w:pPr>
                    <w:adjustRightInd w:val="0"/>
                    <w:snapToGrid w:val="0"/>
                    <w:jc w:val="center"/>
                    <w:rPr>
                      <w:sz w:val="18"/>
                      <w:szCs w:val="18"/>
                    </w:rPr>
                  </w:pPr>
                  <w:r>
                    <w:rPr>
                      <w:rFonts w:hint="eastAsia"/>
                      <w:sz w:val="18"/>
                      <w:szCs w:val="18"/>
                    </w:rPr>
                    <w:t>20</w:t>
                  </w:r>
                </w:p>
              </w:tc>
              <w:tc>
                <w:tcPr>
                  <w:tcW w:w="480" w:type="pct"/>
                  <w:noWrap w:val="0"/>
                  <w:vAlign w:val="center"/>
                </w:tcPr>
                <w:p>
                  <w:pPr>
                    <w:adjustRightInd w:val="0"/>
                    <w:snapToGrid w:val="0"/>
                    <w:jc w:val="center"/>
                    <w:rPr>
                      <w:sz w:val="18"/>
                      <w:szCs w:val="18"/>
                    </w:rPr>
                  </w:pPr>
                  <w:r>
                    <w:rPr>
                      <w:rFonts w:hint="eastAsia"/>
                      <w:sz w:val="18"/>
                      <w:szCs w:val="18"/>
                    </w:rPr>
                    <w:t>50</w:t>
                  </w:r>
                </w:p>
              </w:tc>
              <w:tc>
                <w:tcPr>
                  <w:tcW w:w="480" w:type="pct"/>
                  <w:noWrap w:val="0"/>
                  <w:vAlign w:val="center"/>
                </w:tcPr>
                <w:p>
                  <w:pPr>
                    <w:adjustRightInd w:val="0"/>
                    <w:snapToGrid w:val="0"/>
                    <w:jc w:val="center"/>
                    <w:rPr>
                      <w:sz w:val="18"/>
                      <w:szCs w:val="18"/>
                    </w:rPr>
                  </w:pPr>
                  <w:r>
                    <w:rPr>
                      <w:rFonts w:hint="eastAsia"/>
                      <w:sz w:val="18"/>
                      <w:szCs w:val="18"/>
                    </w:rPr>
                    <w:t>10</w:t>
                  </w:r>
                </w:p>
              </w:tc>
              <w:tc>
                <w:tcPr>
                  <w:tcW w:w="465" w:type="pct"/>
                  <w:noWrap w:val="0"/>
                  <w:vAlign w:val="center"/>
                </w:tcPr>
                <w:p>
                  <w:pPr>
                    <w:adjustRightInd w:val="0"/>
                    <w:snapToGrid w:val="0"/>
                    <w:jc w:val="center"/>
                    <w:rPr>
                      <w:sz w:val="18"/>
                      <w:szCs w:val="18"/>
                    </w:rPr>
                  </w:pPr>
                  <w:r>
                    <w:rPr>
                      <w:rFonts w:hint="eastAsia"/>
                      <w:sz w:val="18"/>
                      <w:szCs w:val="18"/>
                    </w:rPr>
                    <w:t>10</w:t>
                  </w:r>
                </w:p>
              </w:tc>
              <w:tc>
                <w:tcPr>
                  <w:tcW w:w="465" w:type="pct"/>
                  <w:noWrap w:val="0"/>
                  <w:vAlign w:val="center"/>
                </w:tcPr>
                <w:p>
                  <w:pPr>
                    <w:adjustRightInd w:val="0"/>
                    <w:snapToGrid w:val="0"/>
                    <w:jc w:val="center"/>
                    <w:rPr>
                      <w:sz w:val="18"/>
                      <w:szCs w:val="18"/>
                    </w:rPr>
                  </w:pPr>
                  <w:r>
                    <w:rPr>
                      <w:rFonts w:hint="eastAsia"/>
                      <w:sz w:val="18"/>
                      <w:szCs w:val="18"/>
                    </w:rPr>
                    <w:t>10</w:t>
                  </w:r>
                </w:p>
              </w:tc>
              <w:tc>
                <w:tcPr>
                  <w:tcW w:w="465" w:type="pct"/>
                  <w:noWrap w:val="0"/>
                  <w:vAlign w:val="center"/>
                </w:tcPr>
                <w:p>
                  <w:pPr>
                    <w:adjustRightInd w:val="0"/>
                    <w:snapToGrid w:val="0"/>
                    <w:jc w:val="center"/>
                    <w:rPr>
                      <w:sz w:val="18"/>
                      <w:szCs w:val="18"/>
                    </w:rPr>
                  </w:pPr>
                  <w:r>
                    <w:rPr>
                      <w:rFonts w:hint="eastAsia"/>
                      <w:sz w:val="18"/>
                      <w:szCs w:val="18"/>
                    </w:rPr>
                    <w:t>20</w:t>
                  </w:r>
                </w:p>
              </w:tc>
              <w:tc>
                <w:tcPr>
                  <w:tcW w:w="465" w:type="pct"/>
                  <w:noWrap w:val="0"/>
                  <w:vAlign w:val="center"/>
                </w:tcPr>
                <w:p>
                  <w:pPr>
                    <w:adjustRightInd w:val="0"/>
                    <w:snapToGrid w:val="0"/>
                    <w:jc w:val="center"/>
                    <w:rPr>
                      <w:sz w:val="18"/>
                      <w:szCs w:val="18"/>
                    </w:rPr>
                  </w:pPr>
                  <w:r>
                    <w:rPr>
                      <w:rFonts w:hint="eastAsia"/>
                      <w:sz w:val="18"/>
                      <w:szCs w:val="18"/>
                    </w:rPr>
                    <w:t>20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continue"/>
                  <w:noWrap w:val="0"/>
                  <w:vAlign w:val="center"/>
                </w:tcPr>
                <w:p>
                  <w:pPr>
                    <w:adjustRightInd w:val="0"/>
                    <w:snapToGrid w:val="0"/>
                    <w:jc w:val="center"/>
                    <w:rPr>
                      <w:sz w:val="18"/>
                      <w:szCs w:val="18"/>
                    </w:rPr>
                  </w:pPr>
                </w:p>
              </w:tc>
              <w:tc>
                <w:tcPr>
                  <w:tcW w:w="732" w:type="pct"/>
                  <w:noWrap w:val="0"/>
                  <w:vAlign w:val="center"/>
                </w:tcPr>
                <w:p>
                  <w:pPr>
                    <w:adjustRightInd w:val="0"/>
                    <w:snapToGrid w:val="0"/>
                    <w:jc w:val="center"/>
                    <w:rPr>
                      <w:sz w:val="18"/>
                      <w:szCs w:val="18"/>
                    </w:rPr>
                  </w:pPr>
                  <w:r>
                    <w:rPr>
                      <w:sz w:val="18"/>
                      <w:szCs w:val="18"/>
                    </w:rPr>
                    <w:t>出水浓度（mg/L）</w:t>
                  </w:r>
                </w:p>
              </w:tc>
              <w:tc>
                <w:tcPr>
                  <w:tcW w:w="615" w:type="pct"/>
                  <w:noWrap w:val="0"/>
                  <w:vAlign w:val="center"/>
                </w:tcPr>
                <w:p>
                  <w:pPr>
                    <w:adjustRightInd w:val="0"/>
                    <w:snapToGrid w:val="0"/>
                    <w:jc w:val="center"/>
                    <w:rPr>
                      <w:sz w:val="18"/>
                      <w:szCs w:val="18"/>
                    </w:rPr>
                  </w:pPr>
                  <w:r>
                    <w:rPr>
                      <w:rFonts w:hint="eastAsia"/>
                      <w:sz w:val="18"/>
                      <w:szCs w:val="18"/>
                    </w:rPr>
                    <w:t>591.5</w:t>
                  </w:r>
                </w:p>
              </w:tc>
              <w:tc>
                <w:tcPr>
                  <w:tcW w:w="480" w:type="pct"/>
                  <w:noWrap w:val="0"/>
                  <w:vAlign w:val="center"/>
                </w:tcPr>
                <w:p>
                  <w:pPr>
                    <w:adjustRightInd w:val="0"/>
                    <w:snapToGrid w:val="0"/>
                    <w:jc w:val="center"/>
                    <w:rPr>
                      <w:sz w:val="18"/>
                      <w:szCs w:val="18"/>
                    </w:rPr>
                  </w:pPr>
                  <w:r>
                    <w:rPr>
                      <w:rFonts w:hint="eastAsia"/>
                      <w:sz w:val="18"/>
                      <w:szCs w:val="18"/>
                    </w:rPr>
                    <w:t>280</w:t>
                  </w:r>
                </w:p>
              </w:tc>
              <w:tc>
                <w:tcPr>
                  <w:tcW w:w="480" w:type="pct"/>
                  <w:noWrap w:val="0"/>
                  <w:vAlign w:val="center"/>
                </w:tcPr>
                <w:p>
                  <w:pPr>
                    <w:adjustRightInd w:val="0"/>
                    <w:snapToGrid w:val="0"/>
                    <w:jc w:val="center"/>
                    <w:rPr>
                      <w:sz w:val="18"/>
                      <w:szCs w:val="18"/>
                    </w:rPr>
                  </w:pPr>
                  <w:r>
                    <w:rPr>
                      <w:rFonts w:hint="eastAsia"/>
                      <w:sz w:val="18"/>
                      <w:szCs w:val="18"/>
                    </w:rPr>
                    <w:t>222.5</w:t>
                  </w:r>
                </w:p>
              </w:tc>
              <w:tc>
                <w:tcPr>
                  <w:tcW w:w="480" w:type="pct"/>
                  <w:noWrap w:val="0"/>
                  <w:vAlign w:val="center"/>
                </w:tcPr>
                <w:p>
                  <w:pPr>
                    <w:adjustRightInd w:val="0"/>
                    <w:snapToGrid w:val="0"/>
                    <w:jc w:val="center"/>
                    <w:rPr>
                      <w:sz w:val="18"/>
                      <w:szCs w:val="18"/>
                    </w:rPr>
                  </w:pPr>
                  <w:r>
                    <w:rPr>
                      <w:rFonts w:hint="eastAsia"/>
                      <w:sz w:val="18"/>
                      <w:szCs w:val="18"/>
                    </w:rPr>
                    <w:t>3.15</w:t>
                  </w:r>
                </w:p>
              </w:tc>
              <w:tc>
                <w:tcPr>
                  <w:tcW w:w="465" w:type="pct"/>
                  <w:noWrap w:val="0"/>
                  <w:vAlign w:val="center"/>
                </w:tcPr>
                <w:p>
                  <w:pPr>
                    <w:adjustRightInd w:val="0"/>
                    <w:snapToGrid w:val="0"/>
                    <w:jc w:val="center"/>
                    <w:rPr>
                      <w:sz w:val="18"/>
                      <w:szCs w:val="18"/>
                    </w:rPr>
                  </w:pPr>
                  <w:r>
                    <w:rPr>
                      <w:rFonts w:hint="eastAsia"/>
                      <w:sz w:val="18"/>
                      <w:szCs w:val="18"/>
                    </w:rPr>
                    <w:t>7.02</w:t>
                  </w:r>
                </w:p>
              </w:tc>
              <w:tc>
                <w:tcPr>
                  <w:tcW w:w="465" w:type="pct"/>
                  <w:noWrap w:val="0"/>
                  <w:vAlign w:val="center"/>
                </w:tcPr>
                <w:p>
                  <w:pPr>
                    <w:adjustRightInd w:val="0"/>
                    <w:snapToGrid w:val="0"/>
                    <w:jc w:val="center"/>
                    <w:rPr>
                      <w:sz w:val="18"/>
                      <w:szCs w:val="18"/>
                    </w:rPr>
                  </w:pPr>
                  <w:r>
                    <w:rPr>
                      <w:rFonts w:hint="eastAsia"/>
                      <w:sz w:val="18"/>
                      <w:szCs w:val="18"/>
                    </w:rPr>
                    <w:t>23.4</w:t>
                  </w:r>
                </w:p>
              </w:tc>
              <w:tc>
                <w:tcPr>
                  <w:tcW w:w="465" w:type="pct"/>
                  <w:noWrap w:val="0"/>
                  <w:vAlign w:val="center"/>
                </w:tcPr>
                <w:p>
                  <w:pPr>
                    <w:adjustRightInd w:val="0"/>
                    <w:snapToGrid w:val="0"/>
                    <w:jc w:val="center"/>
                    <w:rPr>
                      <w:sz w:val="18"/>
                      <w:szCs w:val="18"/>
                    </w:rPr>
                  </w:pPr>
                  <w:r>
                    <w:rPr>
                      <w:rFonts w:hint="eastAsia"/>
                      <w:sz w:val="18"/>
                      <w:szCs w:val="18"/>
                    </w:rPr>
                    <w:t>3.12</w:t>
                  </w:r>
                </w:p>
              </w:tc>
              <w:tc>
                <w:tcPr>
                  <w:tcW w:w="465" w:type="pct"/>
                  <w:noWrap w:val="0"/>
                  <w:vAlign w:val="center"/>
                </w:tcPr>
                <w:p>
                  <w:pPr>
                    <w:adjustRightInd w:val="0"/>
                    <w:snapToGrid w:val="0"/>
                    <w:jc w:val="center"/>
                    <w:rPr>
                      <w:sz w:val="18"/>
                      <w:szCs w:val="18"/>
                    </w:rPr>
                  </w:pPr>
                  <w:r>
                    <w:rPr>
                      <w:rFonts w:hint="eastAsia"/>
                      <w:sz w:val="18"/>
                      <w:szCs w:val="18"/>
                    </w:rPr>
                    <w:t>240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restart"/>
                  <w:noWrap w:val="0"/>
                  <w:vAlign w:val="center"/>
                </w:tcPr>
                <w:p>
                  <w:pPr>
                    <w:adjustRightInd w:val="0"/>
                    <w:snapToGrid w:val="0"/>
                    <w:jc w:val="center"/>
                    <w:rPr>
                      <w:rFonts w:hint="eastAsia" w:eastAsia="宋体"/>
                      <w:sz w:val="18"/>
                      <w:szCs w:val="18"/>
                      <w:lang w:eastAsia="zh-CN"/>
                    </w:rPr>
                  </w:pPr>
                  <w:r>
                    <w:rPr>
                      <w:rFonts w:hint="eastAsia"/>
                      <w:sz w:val="18"/>
                      <w:szCs w:val="18"/>
                      <w:lang w:eastAsia="zh-CN"/>
                    </w:rPr>
                    <w:t>混凝沉淀</w:t>
                  </w:r>
                </w:p>
              </w:tc>
              <w:tc>
                <w:tcPr>
                  <w:tcW w:w="732" w:type="pct"/>
                  <w:noWrap w:val="0"/>
                  <w:vAlign w:val="center"/>
                </w:tcPr>
                <w:p>
                  <w:pPr>
                    <w:adjustRightInd w:val="0"/>
                    <w:snapToGrid w:val="0"/>
                    <w:jc w:val="center"/>
                    <w:rPr>
                      <w:sz w:val="18"/>
                      <w:szCs w:val="18"/>
                    </w:rPr>
                  </w:pPr>
                  <w:r>
                    <w:rPr>
                      <w:sz w:val="18"/>
                      <w:szCs w:val="18"/>
                    </w:rPr>
                    <w:t>进水浓度（mg/L）</w:t>
                  </w:r>
                </w:p>
              </w:tc>
              <w:tc>
                <w:tcPr>
                  <w:tcW w:w="615" w:type="pct"/>
                  <w:noWrap w:val="0"/>
                  <w:vAlign w:val="center"/>
                </w:tcPr>
                <w:p>
                  <w:pPr>
                    <w:adjustRightInd w:val="0"/>
                    <w:snapToGrid w:val="0"/>
                    <w:jc w:val="center"/>
                    <w:rPr>
                      <w:sz w:val="18"/>
                      <w:szCs w:val="18"/>
                    </w:rPr>
                  </w:pPr>
                  <w:r>
                    <w:rPr>
                      <w:rFonts w:hint="eastAsia"/>
                      <w:sz w:val="18"/>
                      <w:szCs w:val="18"/>
                    </w:rPr>
                    <w:t>591.5</w:t>
                  </w:r>
                </w:p>
              </w:tc>
              <w:tc>
                <w:tcPr>
                  <w:tcW w:w="480" w:type="pct"/>
                  <w:noWrap w:val="0"/>
                  <w:vAlign w:val="center"/>
                </w:tcPr>
                <w:p>
                  <w:pPr>
                    <w:adjustRightInd w:val="0"/>
                    <w:snapToGrid w:val="0"/>
                    <w:jc w:val="center"/>
                    <w:rPr>
                      <w:sz w:val="18"/>
                      <w:szCs w:val="18"/>
                    </w:rPr>
                  </w:pPr>
                  <w:r>
                    <w:rPr>
                      <w:rFonts w:hint="eastAsia"/>
                      <w:sz w:val="18"/>
                      <w:szCs w:val="18"/>
                    </w:rPr>
                    <w:t>280</w:t>
                  </w:r>
                </w:p>
              </w:tc>
              <w:tc>
                <w:tcPr>
                  <w:tcW w:w="480" w:type="pct"/>
                  <w:noWrap w:val="0"/>
                  <w:vAlign w:val="center"/>
                </w:tcPr>
                <w:p>
                  <w:pPr>
                    <w:adjustRightInd w:val="0"/>
                    <w:snapToGrid w:val="0"/>
                    <w:jc w:val="center"/>
                    <w:rPr>
                      <w:sz w:val="18"/>
                      <w:szCs w:val="18"/>
                    </w:rPr>
                  </w:pPr>
                  <w:r>
                    <w:rPr>
                      <w:rFonts w:hint="eastAsia"/>
                      <w:sz w:val="18"/>
                      <w:szCs w:val="18"/>
                    </w:rPr>
                    <w:t>222.5</w:t>
                  </w:r>
                </w:p>
              </w:tc>
              <w:tc>
                <w:tcPr>
                  <w:tcW w:w="480" w:type="pct"/>
                  <w:noWrap w:val="0"/>
                  <w:vAlign w:val="center"/>
                </w:tcPr>
                <w:p>
                  <w:pPr>
                    <w:adjustRightInd w:val="0"/>
                    <w:snapToGrid w:val="0"/>
                    <w:jc w:val="center"/>
                    <w:rPr>
                      <w:sz w:val="18"/>
                      <w:szCs w:val="18"/>
                    </w:rPr>
                  </w:pPr>
                  <w:r>
                    <w:rPr>
                      <w:rFonts w:hint="eastAsia"/>
                      <w:sz w:val="18"/>
                      <w:szCs w:val="18"/>
                    </w:rPr>
                    <w:t>3.15</w:t>
                  </w:r>
                </w:p>
              </w:tc>
              <w:tc>
                <w:tcPr>
                  <w:tcW w:w="465" w:type="pct"/>
                  <w:noWrap w:val="0"/>
                  <w:vAlign w:val="center"/>
                </w:tcPr>
                <w:p>
                  <w:pPr>
                    <w:adjustRightInd w:val="0"/>
                    <w:snapToGrid w:val="0"/>
                    <w:jc w:val="center"/>
                    <w:rPr>
                      <w:sz w:val="18"/>
                      <w:szCs w:val="18"/>
                    </w:rPr>
                  </w:pPr>
                  <w:r>
                    <w:rPr>
                      <w:rFonts w:hint="eastAsia"/>
                      <w:sz w:val="18"/>
                      <w:szCs w:val="18"/>
                    </w:rPr>
                    <w:t>7.02</w:t>
                  </w:r>
                </w:p>
              </w:tc>
              <w:tc>
                <w:tcPr>
                  <w:tcW w:w="465" w:type="pct"/>
                  <w:noWrap w:val="0"/>
                  <w:vAlign w:val="center"/>
                </w:tcPr>
                <w:p>
                  <w:pPr>
                    <w:adjustRightInd w:val="0"/>
                    <w:snapToGrid w:val="0"/>
                    <w:jc w:val="center"/>
                    <w:rPr>
                      <w:sz w:val="18"/>
                      <w:szCs w:val="18"/>
                    </w:rPr>
                  </w:pPr>
                  <w:r>
                    <w:rPr>
                      <w:rFonts w:hint="eastAsia"/>
                      <w:sz w:val="18"/>
                      <w:szCs w:val="18"/>
                    </w:rPr>
                    <w:t>23.4</w:t>
                  </w:r>
                </w:p>
              </w:tc>
              <w:tc>
                <w:tcPr>
                  <w:tcW w:w="465" w:type="pct"/>
                  <w:noWrap w:val="0"/>
                  <w:vAlign w:val="center"/>
                </w:tcPr>
                <w:p>
                  <w:pPr>
                    <w:adjustRightInd w:val="0"/>
                    <w:snapToGrid w:val="0"/>
                    <w:jc w:val="center"/>
                    <w:rPr>
                      <w:sz w:val="18"/>
                      <w:szCs w:val="18"/>
                    </w:rPr>
                  </w:pPr>
                  <w:r>
                    <w:rPr>
                      <w:rFonts w:hint="eastAsia"/>
                      <w:sz w:val="18"/>
                      <w:szCs w:val="18"/>
                    </w:rPr>
                    <w:t>3.12</w:t>
                  </w:r>
                </w:p>
              </w:tc>
              <w:tc>
                <w:tcPr>
                  <w:tcW w:w="465" w:type="pct"/>
                  <w:noWrap w:val="0"/>
                  <w:vAlign w:val="center"/>
                </w:tcPr>
                <w:p>
                  <w:pPr>
                    <w:adjustRightInd w:val="0"/>
                    <w:snapToGrid w:val="0"/>
                    <w:jc w:val="center"/>
                    <w:rPr>
                      <w:sz w:val="18"/>
                      <w:szCs w:val="18"/>
                    </w:rPr>
                  </w:pPr>
                  <w:r>
                    <w:rPr>
                      <w:rFonts w:hint="eastAsia"/>
                      <w:sz w:val="18"/>
                      <w:szCs w:val="18"/>
                    </w:rPr>
                    <w:t>240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382" w:hRule="atLeast"/>
                <w:jc w:val="center"/>
              </w:trPr>
              <w:tc>
                <w:tcPr>
                  <w:tcW w:w="350" w:type="pct"/>
                  <w:vMerge w:val="continue"/>
                  <w:noWrap w:val="0"/>
                  <w:vAlign w:val="center"/>
                </w:tcPr>
                <w:p>
                  <w:pPr>
                    <w:adjustRightInd w:val="0"/>
                    <w:snapToGrid w:val="0"/>
                    <w:jc w:val="center"/>
                    <w:rPr>
                      <w:sz w:val="18"/>
                      <w:szCs w:val="18"/>
                    </w:rPr>
                  </w:pPr>
                </w:p>
              </w:tc>
              <w:tc>
                <w:tcPr>
                  <w:tcW w:w="732" w:type="pct"/>
                  <w:noWrap w:val="0"/>
                  <w:vAlign w:val="center"/>
                </w:tcPr>
                <w:p>
                  <w:pPr>
                    <w:adjustRightInd w:val="0"/>
                    <w:snapToGrid w:val="0"/>
                    <w:jc w:val="center"/>
                    <w:rPr>
                      <w:sz w:val="18"/>
                      <w:szCs w:val="18"/>
                    </w:rPr>
                  </w:pPr>
                  <w:r>
                    <w:rPr>
                      <w:sz w:val="18"/>
                      <w:szCs w:val="18"/>
                    </w:rPr>
                    <w:t>去除率</w:t>
                  </w:r>
                  <w:r>
                    <w:rPr>
                      <w:rFonts w:hint="eastAsia"/>
                      <w:sz w:val="18"/>
                      <w:szCs w:val="18"/>
                    </w:rPr>
                    <w:t>%</w:t>
                  </w:r>
                </w:p>
              </w:tc>
              <w:tc>
                <w:tcPr>
                  <w:tcW w:w="615" w:type="pct"/>
                  <w:noWrap w:val="0"/>
                  <w:vAlign w:val="center"/>
                </w:tcPr>
                <w:p>
                  <w:pPr>
                    <w:adjustRightInd w:val="0"/>
                    <w:snapToGrid w:val="0"/>
                    <w:jc w:val="center"/>
                    <w:rPr>
                      <w:sz w:val="18"/>
                      <w:szCs w:val="18"/>
                    </w:rPr>
                  </w:pPr>
                  <w:r>
                    <w:rPr>
                      <w:rFonts w:hint="eastAsia"/>
                      <w:sz w:val="18"/>
                      <w:szCs w:val="18"/>
                    </w:rPr>
                    <w:t>40</w:t>
                  </w:r>
                </w:p>
              </w:tc>
              <w:tc>
                <w:tcPr>
                  <w:tcW w:w="480" w:type="pct"/>
                  <w:noWrap w:val="0"/>
                  <w:vAlign w:val="center"/>
                </w:tcPr>
                <w:p>
                  <w:pPr>
                    <w:adjustRightInd w:val="0"/>
                    <w:snapToGrid w:val="0"/>
                    <w:jc w:val="center"/>
                    <w:rPr>
                      <w:sz w:val="18"/>
                      <w:szCs w:val="18"/>
                    </w:rPr>
                  </w:pPr>
                  <w:r>
                    <w:rPr>
                      <w:rFonts w:hint="eastAsia"/>
                      <w:sz w:val="18"/>
                      <w:szCs w:val="18"/>
                    </w:rPr>
                    <w:t>30</w:t>
                  </w:r>
                </w:p>
              </w:tc>
              <w:tc>
                <w:tcPr>
                  <w:tcW w:w="480" w:type="pct"/>
                  <w:noWrap w:val="0"/>
                  <w:vAlign w:val="center"/>
                </w:tcPr>
                <w:p>
                  <w:pPr>
                    <w:adjustRightInd w:val="0"/>
                    <w:snapToGrid w:val="0"/>
                    <w:jc w:val="center"/>
                    <w:rPr>
                      <w:sz w:val="18"/>
                      <w:szCs w:val="18"/>
                    </w:rPr>
                  </w:pPr>
                  <w:r>
                    <w:rPr>
                      <w:rFonts w:hint="eastAsia"/>
                      <w:sz w:val="18"/>
                      <w:szCs w:val="18"/>
                    </w:rPr>
                    <w:t>20</w:t>
                  </w:r>
                </w:p>
              </w:tc>
              <w:tc>
                <w:tcPr>
                  <w:tcW w:w="480" w:type="pct"/>
                  <w:noWrap w:val="0"/>
                  <w:vAlign w:val="center"/>
                </w:tcPr>
                <w:p>
                  <w:pPr>
                    <w:adjustRightInd w:val="0"/>
                    <w:snapToGrid w:val="0"/>
                    <w:jc w:val="center"/>
                    <w:rPr>
                      <w:sz w:val="18"/>
                      <w:szCs w:val="18"/>
                    </w:rPr>
                  </w:pPr>
                  <w:r>
                    <w:rPr>
                      <w:rFonts w:hint="eastAsia"/>
                      <w:sz w:val="18"/>
                      <w:szCs w:val="18"/>
                    </w:rPr>
                    <w:t>20</w:t>
                  </w:r>
                </w:p>
              </w:tc>
              <w:tc>
                <w:tcPr>
                  <w:tcW w:w="465" w:type="pct"/>
                  <w:noWrap w:val="0"/>
                  <w:vAlign w:val="center"/>
                </w:tcPr>
                <w:p>
                  <w:pPr>
                    <w:adjustRightInd w:val="0"/>
                    <w:snapToGrid w:val="0"/>
                    <w:jc w:val="center"/>
                    <w:rPr>
                      <w:sz w:val="18"/>
                      <w:szCs w:val="18"/>
                    </w:rPr>
                  </w:pPr>
                  <w:r>
                    <w:rPr>
                      <w:rFonts w:hint="eastAsia"/>
                      <w:sz w:val="18"/>
                      <w:szCs w:val="18"/>
                    </w:rPr>
                    <w:t>/</w:t>
                  </w:r>
                </w:p>
              </w:tc>
              <w:tc>
                <w:tcPr>
                  <w:tcW w:w="465" w:type="pct"/>
                  <w:noWrap w:val="0"/>
                  <w:vAlign w:val="center"/>
                </w:tcPr>
                <w:p>
                  <w:pPr>
                    <w:adjustRightInd w:val="0"/>
                    <w:snapToGrid w:val="0"/>
                    <w:jc w:val="center"/>
                    <w:rPr>
                      <w:sz w:val="18"/>
                      <w:szCs w:val="18"/>
                    </w:rPr>
                  </w:pPr>
                  <w:r>
                    <w:rPr>
                      <w:rFonts w:hint="eastAsia"/>
                      <w:sz w:val="18"/>
                      <w:szCs w:val="18"/>
                    </w:rPr>
                    <w:t>/</w:t>
                  </w:r>
                </w:p>
              </w:tc>
              <w:tc>
                <w:tcPr>
                  <w:tcW w:w="465" w:type="pct"/>
                  <w:noWrap w:val="0"/>
                  <w:vAlign w:val="center"/>
                </w:tcPr>
                <w:p>
                  <w:pPr>
                    <w:adjustRightInd w:val="0"/>
                    <w:snapToGrid w:val="0"/>
                    <w:jc w:val="center"/>
                    <w:rPr>
                      <w:sz w:val="18"/>
                      <w:szCs w:val="18"/>
                    </w:rPr>
                  </w:pPr>
                  <w:r>
                    <w:rPr>
                      <w:rFonts w:hint="eastAsia"/>
                      <w:sz w:val="18"/>
                      <w:szCs w:val="18"/>
                    </w:rPr>
                    <w:t>10</w:t>
                  </w:r>
                </w:p>
              </w:tc>
              <w:tc>
                <w:tcPr>
                  <w:tcW w:w="465" w:type="pct"/>
                  <w:noWrap w:val="0"/>
                  <w:vAlign w:val="center"/>
                </w:tcPr>
                <w:p>
                  <w:pPr>
                    <w:adjustRightInd w:val="0"/>
                    <w:snapToGrid w:val="0"/>
                    <w:jc w:val="center"/>
                    <w:rPr>
                      <w:sz w:val="18"/>
                      <w:szCs w:val="18"/>
                    </w:rPr>
                  </w:pPr>
                  <w:r>
                    <w:rPr>
                      <w:rFonts w:hint="eastAsia"/>
                      <w:sz w:val="18"/>
                      <w:szCs w:val="18"/>
                    </w:rPr>
                    <w:t>40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continue"/>
                  <w:noWrap w:val="0"/>
                  <w:vAlign w:val="center"/>
                </w:tcPr>
                <w:p>
                  <w:pPr>
                    <w:adjustRightInd w:val="0"/>
                    <w:snapToGrid w:val="0"/>
                    <w:jc w:val="center"/>
                    <w:rPr>
                      <w:sz w:val="18"/>
                      <w:szCs w:val="18"/>
                    </w:rPr>
                  </w:pPr>
                </w:p>
              </w:tc>
              <w:tc>
                <w:tcPr>
                  <w:tcW w:w="732" w:type="pct"/>
                  <w:noWrap w:val="0"/>
                  <w:vAlign w:val="center"/>
                </w:tcPr>
                <w:p>
                  <w:pPr>
                    <w:adjustRightInd w:val="0"/>
                    <w:snapToGrid w:val="0"/>
                    <w:jc w:val="center"/>
                    <w:rPr>
                      <w:sz w:val="18"/>
                      <w:szCs w:val="18"/>
                    </w:rPr>
                  </w:pPr>
                  <w:r>
                    <w:rPr>
                      <w:sz w:val="18"/>
                      <w:szCs w:val="18"/>
                    </w:rPr>
                    <w:t>出水浓度（mg/L）</w:t>
                  </w:r>
                </w:p>
              </w:tc>
              <w:tc>
                <w:tcPr>
                  <w:tcW w:w="615" w:type="pct"/>
                  <w:noWrap w:val="0"/>
                  <w:vAlign w:val="center"/>
                </w:tcPr>
                <w:p>
                  <w:pPr>
                    <w:adjustRightInd w:val="0"/>
                    <w:snapToGrid w:val="0"/>
                    <w:jc w:val="center"/>
                    <w:rPr>
                      <w:sz w:val="18"/>
                      <w:szCs w:val="18"/>
                    </w:rPr>
                  </w:pPr>
                  <w:r>
                    <w:rPr>
                      <w:rFonts w:hint="eastAsia"/>
                      <w:sz w:val="18"/>
                      <w:szCs w:val="18"/>
                    </w:rPr>
                    <w:t>354.9</w:t>
                  </w:r>
                </w:p>
              </w:tc>
              <w:tc>
                <w:tcPr>
                  <w:tcW w:w="480" w:type="pct"/>
                  <w:noWrap w:val="0"/>
                  <w:vAlign w:val="center"/>
                </w:tcPr>
                <w:p>
                  <w:pPr>
                    <w:adjustRightInd w:val="0"/>
                    <w:snapToGrid w:val="0"/>
                    <w:jc w:val="center"/>
                    <w:rPr>
                      <w:sz w:val="18"/>
                      <w:szCs w:val="18"/>
                    </w:rPr>
                  </w:pPr>
                  <w:r>
                    <w:rPr>
                      <w:rFonts w:hint="eastAsia"/>
                      <w:sz w:val="18"/>
                      <w:szCs w:val="18"/>
                    </w:rPr>
                    <w:t>196</w:t>
                  </w:r>
                </w:p>
              </w:tc>
              <w:tc>
                <w:tcPr>
                  <w:tcW w:w="480" w:type="pct"/>
                  <w:noWrap w:val="0"/>
                  <w:vAlign w:val="center"/>
                </w:tcPr>
                <w:p>
                  <w:pPr>
                    <w:adjustRightInd w:val="0"/>
                    <w:snapToGrid w:val="0"/>
                    <w:jc w:val="center"/>
                    <w:rPr>
                      <w:sz w:val="18"/>
                      <w:szCs w:val="18"/>
                    </w:rPr>
                  </w:pPr>
                  <w:r>
                    <w:rPr>
                      <w:rFonts w:hint="eastAsia"/>
                      <w:sz w:val="18"/>
                      <w:szCs w:val="18"/>
                    </w:rPr>
                    <w:t>178</w:t>
                  </w:r>
                </w:p>
              </w:tc>
              <w:tc>
                <w:tcPr>
                  <w:tcW w:w="480" w:type="pct"/>
                  <w:noWrap w:val="0"/>
                  <w:vAlign w:val="center"/>
                </w:tcPr>
                <w:p>
                  <w:pPr>
                    <w:adjustRightInd w:val="0"/>
                    <w:snapToGrid w:val="0"/>
                    <w:jc w:val="center"/>
                    <w:rPr>
                      <w:sz w:val="18"/>
                      <w:szCs w:val="18"/>
                    </w:rPr>
                  </w:pPr>
                  <w:r>
                    <w:rPr>
                      <w:rFonts w:hint="eastAsia"/>
                      <w:sz w:val="18"/>
                      <w:szCs w:val="18"/>
                    </w:rPr>
                    <w:t>2.52</w:t>
                  </w:r>
                </w:p>
              </w:tc>
              <w:tc>
                <w:tcPr>
                  <w:tcW w:w="465" w:type="pct"/>
                  <w:noWrap w:val="0"/>
                  <w:vAlign w:val="center"/>
                </w:tcPr>
                <w:p>
                  <w:pPr>
                    <w:adjustRightInd w:val="0"/>
                    <w:snapToGrid w:val="0"/>
                    <w:jc w:val="center"/>
                    <w:rPr>
                      <w:sz w:val="18"/>
                      <w:szCs w:val="18"/>
                    </w:rPr>
                  </w:pPr>
                  <w:r>
                    <w:rPr>
                      <w:rFonts w:hint="eastAsia"/>
                      <w:sz w:val="18"/>
                      <w:szCs w:val="18"/>
                    </w:rPr>
                    <w:t>7.02</w:t>
                  </w:r>
                </w:p>
              </w:tc>
              <w:tc>
                <w:tcPr>
                  <w:tcW w:w="465" w:type="pct"/>
                  <w:noWrap w:val="0"/>
                  <w:vAlign w:val="center"/>
                </w:tcPr>
                <w:p>
                  <w:pPr>
                    <w:adjustRightInd w:val="0"/>
                    <w:snapToGrid w:val="0"/>
                    <w:jc w:val="center"/>
                    <w:rPr>
                      <w:sz w:val="18"/>
                      <w:szCs w:val="18"/>
                    </w:rPr>
                  </w:pPr>
                  <w:r>
                    <w:rPr>
                      <w:rFonts w:hint="eastAsia"/>
                      <w:sz w:val="18"/>
                      <w:szCs w:val="18"/>
                    </w:rPr>
                    <w:t>23.4</w:t>
                  </w:r>
                </w:p>
              </w:tc>
              <w:tc>
                <w:tcPr>
                  <w:tcW w:w="465" w:type="pct"/>
                  <w:noWrap w:val="0"/>
                  <w:vAlign w:val="center"/>
                </w:tcPr>
                <w:p>
                  <w:pPr>
                    <w:adjustRightInd w:val="0"/>
                    <w:snapToGrid w:val="0"/>
                    <w:jc w:val="center"/>
                    <w:rPr>
                      <w:sz w:val="18"/>
                      <w:szCs w:val="18"/>
                    </w:rPr>
                  </w:pPr>
                  <w:r>
                    <w:rPr>
                      <w:rFonts w:hint="eastAsia"/>
                      <w:sz w:val="18"/>
                      <w:szCs w:val="18"/>
                    </w:rPr>
                    <w:t>2.81</w:t>
                  </w:r>
                </w:p>
              </w:tc>
              <w:tc>
                <w:tcPr>
                  <w:tcW w:w="465" w:type="pct"/>
                  <w:noWrap w:val="0"/>
                  <w:vAlign w:val="center"/>
                </w:tcPr>
                <w:p>
                  <w:pPr>
                    <w:adjustRightInd w:val="0"/>
                    <w:snapToGrid w:val="0"/>
                    <w:jc w:val="center"/>
                    <w:rPr>
                      <w:sz w:val="18"/>
                      <w:szCs w:val="18"/>
                    </w:rPr>
                  </w:pPr>
                  <w:r>
                    <w:rPr>
                      <w:rFonts w:hint="eastAsia"/>
                      <w:sz w:val="18"/>
                      <w:szCs w:val="18"/>
                    </w:rPr>
                    <w:t>144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restart"/>
                  <w:noWrap w:val="0"/>
                  <w:vAlign w:val="center"/>
                </w:tcPr>
                <w:p>
                  <w:pPr>
                    <w:adjustRightInd w:val="0"/>
                    <w:snapToGrid w:val="0"/>
                    <w:jc w:val="center"/>
                    <w:rPr>
                      <w:rFonts w:hint="eastAsia" w:eastAsia="宋体"/>
                      <w:sz w:val="18"/>
                      <w:szCs w:val="18"/>
                      <w:lang w:eastAsia="zh-CN"/>
                    </w:rPr>
                  </w:pPr>
                  <w:r>
                    <w:rPr>
                      <w:rFonts w:hint="eastAsia"/>
                      <w:sz w:val="18"/>
                      <w:szCs w:val="18"/>
                      <w:lang w:eastAsia="zh-CN"/>
                    </w:rPr>
                    <w:t>水解酸化</w:t>
                  </w:r>
                </w:p>
              </w:tc>
              <w:tc>
                <w:tcPr>
                  <w:tcW w:w="732" w:type="pct"/>
                  <w:noWrap w:val="0"/>
                  <w:vAlign w:val="center"/>
                </w:tcPr>
                <w:p>
                  <w:pPr>
                    <w:adjustRightInd w:val="0"/>
                    <w:snapToGrid w:val="0"/>
                    <w:jc w:val="center"/>
                    <w:rPr>
                      <w:sz w:val="18"/>
                      <w:szCs w:val="18"/>
                    </w:rPr>
                  </w:pPr>
                  <w:r>
                    <w:rPr>
                      <w:sz w:val="18"/>
                      <w:szCs w:val="18"/>
                    </w:rPr>
                    <w:t>进水浓度（mg/L）</w:t>
                  </w:r>
                </w:p>
              </w:tc>
              <w:tc>
                <w:tcPr>
                  <w:tcW w:w="615" w:type="pct"/>
                  <w:noWrap w:val="0"/>
                  <w:vAlign w:val="center"/>
                </w:tcPr>
                <w:p>
                  <w:pPr>
                    <w:adjustRightInd w:val="0"/>
                    <w:snapToGrid w:val="0"/>
                    <w:jc w:val="center"/>
                    <w:rPr>
                      <w:sz w:val="18"/>
                      <w:szCs w:val="18"/>
                    </w:rPr>
                  </w:pPr>
                  <w:r>
                    <w:rPr>
                      <w:rFonts w:hint="eastAsia"/>
                      <w:sz w:val="18"/>
                      <w:szCs w:val="18"/>
                    </w:rPr>
                    <w:t>354.9</w:t>
                  </w:r>
                </w:p>
              </w:tc>
              <w:tc>
                <w:tcPr>
                  <w:tcW w:w="480" w:type="pct"/>
                  <w:noWrap w:val="0"/>
                  <w:vAlign w:val="center"/>
                </w:tcPr>
                <w:p>
                  <w:pPr>
                    <w:adjustRightInd w:val="0"/>
                    <w:snapToGrid w:val="0"/>
                    <w:jc w:val="center"/>
                    <w:rPr>
                      <w:sz w:val="18"/>
                      <w:szCs w:val="18"/>
                    </w:rPr>
                  </w:pPr>
                  <w:r>
                    <w:rPr>
                      <w:rFonts w:hint="eastAsia"/>
                      <w:sz w:val="18"/>
                      <w:szCs w:val="18"/>
                    </w:rPr>
                    <w:t>196</w:t>
                  </w:r>
                </w:p>
              </w:tc>
              <w:tc>
                <w:tcPr>
                  <w:tcW w:w="480" w:type="pct"/>
                  <w:noWrap w:val="0"/>
                  <w:vAlign w:val="center"/>
                </w:tcPr>
                <w:p>
                  <w:pPr>
                    <w:adjustRightInd w:val="0"/>
                    <w:snapToGrid w:val="0"/>
                    <w:jc w:val="center"/>
                    <w:rPr>
                      <w:sz w:val="18"/>
                      <w:szCs w:val="18"/>
                    </w:rPr>
                  </w:pPr>
                  <w:r>
                    <w:rPr>
                      <w:rFonts w:hint="eastAsia"/>
                      <w:sz w:val="18"/>
                      <w:szCs w:val="18"/>
                    </w:rPr>
                    <w:t>178</w:t>
                  </w:r>
                </w:p>
              </w:tc>
              <w:tc>
                <w:tcPr>
                  <w:tcW w:w="480" w:type="pct"/>
                  <w:noWrap w:val="0"/>
                  <w:vAlign w:val="center"/>
                </w:tcPr>
                <w:p>
                  <w:pPr>
                    <w:adjustRightInd w:val="0"/>
                    <w:snapToGrid w:val="0"/>
                    <w:jc w:val="center"/>
                    <w:rPr>
                      <w:sz w:val="18"/>
                      <w:szCs w:val="18"/>
                    </w:rPr>
                  </w:pPr>
                  <w:r>
                    <w:rPr>
                      <w:rFonts w:hint="eastAsia"/>
                      <w:sz w:val="18"/>
                      <w:szCs w:val="18"/>
                    </w:rPr>
                    <w:t>2.52</w:t>
                  </w:r>
                </w:p>
              </w:tc>
              <w:tc>
                <w:tcPr>
                  <w:tcW w:w="465" w:type="pct"/>
                  <w:noWrap w:val="0"/>
                  <w:vAlign w:val="center"/>
                </w:tcPr>
                <w:p>
                  <w:pPr>
                    <w:adjustRightInd w:val="0"/>
                    <w:snapToGrid w:val="0"/>
                    <w:jc w:val="center"/>
                    <w:rPr>
                      <w:sz w:val="18"/>
                      <w:szCs w:val="18"/>
                    </w:rPr>
                  </w:pPr>
                  <w:r>
                    <w:rPr>
                      <w:rFonts w:hint="eastAsia"/>
                      <w:sz w:val="18"/>
                      <w:szCs w:val="18"/>
                    </w:rPr>
                    <w:t>7.02</w:t>
                  </w:r>
                </w:p>
              </w:tc>
              <w:tc>
                <w:tcPr>
                  <w:tcW w:w="465" w:type="pct"/>
                  <w:noWrap w:val="0"/>
                  <w:vAlign w:val="center"/>
                </w:tcPr>
                <w:p>
                  <w:pPr>
                    <w:adjustRightInd w:val="0"/>
                    <w:snapToGrid w:val="0"/>
                    <w:jc w:val="center"/>
                    <w:rPr>
                      <w:sz w:val="18"/>
                      <w:szCs w:val="18"/>
                    </w:rPr>
                  </w:pPr>
                  <w:r>
                    <w:rPr>
                      <w:rFonts w:hint="eastAsia"/>
                      <w:sz w:val="18"/>
                      <w:szCs w:val="18"/>
                    </w:rPr>
                    <w:t>23.4</w:t>
                  </w:r>
                </w:p>
              </w:tc>
              <w:tc>
                <w:tcPr>
                  <w:tcW w:w="465" w:type="pct"/>
                  <w:noWrap w:val="0"/>
                  <w:vAlign w:val="center"/>
                </w:tcPr>
                <w:p>
                  <w:pPr>
                    <w:adjustRightInd w:val="0"/>
                    <w:snapToGrid w:val="0"/>
                    <w:jc w:val="center"/>
                    <w:rPr>
                      <w:sz w:val="18"/>
                      <w:szCs w:val="18"/>
                    </w:rPr>
                  </w:pPr>
                  <w:r>
                    <w:rPr>
                      <w:rFonts w:hint="eastAsia"/>
                      <w:sz w:val="18"/>
                      <w:szCs w:val="18"/>
                    </w:rPr>
                    <w:t>2.81</w:t>
                  </w:r>
                </w:p>
              </w:tc>
              <w:tc>
                <w:tcPr>
                  <w:tcW w:w="465" w:type="pct"/>
                  <w:noWrap w:val="0"/>
                  <w:vAlign w:val="center"/>
                </w:tcPr>
                <w:p>
                  <w:pPr>
                    <w:adjustRightInd w:val="0"/>
                    <w:snapToGrid w:val="0"/>
                    <w:jc w:val="center"/>
                    <w:rPr>
                      <w:sz w:val="18"/>
                      <w:szCs w:val="18"/>
                    </w:rPr>
                  </w:pPr>
                  <w:r>
                    <w:rPr>
                      <w:rFonts w:hint="eastAsia"/>
                      <w:sz w:val="18"/>
                      <w:szCs w:val="18"/>
                    </w:rPr>
                    <w:t>144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382" w:hRule="atLeast"/>
                <w:jc w:val="center"/>
              </w:trPr>
              <w:tc>
                <w:tcPr>
                  <w:tcW w:w="350" w:type="pct"/>
                  <w:vMerge w:val="continue"/>
                  <w:noWrap w:val="0"/>
                  <w:vAlign w:val="center"/>
                </w:tcPr>
                <w:p>
                  <w:pPr>
                    <w:adjustRightInd w:val="0"/>
                    <w:snapToGrid w:val="0"/>
                    <w:jc w:val="center"/>
                    <w:rPr>
                      <w:sz w:val="18"/>
                      <w:szCs w:val="18"/>
                    </w:rPr>
                  </w:pPr>
                </w:p>
              </w:tc>
              <w:tc>
                <w:tcPr>
                  <w:tcW w:w="732" w:type="pct"/>
                  <w:noWrap w:val="0"/>
                  <w:vAlign w:val="center"/>
                </w:tcPr>
                <w:p>
                  <w:pPr>
                    <w:adjustRightInd w:val="0"/>
                    <w:snapToGrid w:val="0"/>
                    <w:jc w:val="center"/>
                    <w:rPr>
                      <w:sz w:val="18"/>
                      <w:szCs w:val="18"/>
                    </w:rPr>
                  </w:pPr>
                  <w:r>
                    <w:rPr>
                      <w:sz w:val="18"/>
                      <w:szCs w:val="18"/>
                    </w:rPr>
                    <w:t>去除率</w:t>
                  </w:r>
                  <w:r>
                    <w:rPr>
                      <w:rFonts w:hint="eastAsia"/>
                      <w:sz w:val="18"/>
                      <w:szCs w:val="18"/>
                    </w:rPr>
                    <w:t>%</w:t>
                  </w:r>
                </w:p>
              </w:tc>
              <w:tc>
                <w:tcPr>
                  <w:tcW w:w="615" w:type="pct"/>
                  <w:noWrap w:val="0"/>
                  <w:vAlign w:val="center"/>
                </w:tcPr>
                <w:p>
                  <w:pPr>
                    <w:adjustRightInd w:val="0"/>
                    <w:snapToGrid w:val="0"/>
                    <w:jc w:val="center"/>
                    <w:rPr>
                      <w:sz w:val="18"/>
                      <w:szCs w:val="18"/>
                    </w:rPr>
                  </w:pPr>
                  <w:r>
                    <w:rPr>
                      <w:rFonts w:hint="eastAsia"/>
                      <w:sz w:val="18"/>
                      <w:szCs w:val="18"/>
                    </w:rPr>
                    <w:t>30</w:t>
                  </w:r>
                </w:p>
              </w:tc>
              <w:tc>
                <w:tcPr>
                  <w:tcW w:w="480" w:type="pct"/>
                  <w:noWrap w:val="0"/>
                  <w:vAlign w:val="center"/>
                </w:tcPr>
                <w:p>
                  <w:pPr>
                    <w:adjustRightInd w:val="0"/>
                    <w:snapToGrid w:val="0"/>
                    <w:jc w:val="center"/>
                    <w:rPr>
                      <w:sz w:val="18"/>
                      <w:szCs w:val="18"/>
                    </w:rPr>
                  </w:pPr>
                  <w:r>
                    <w:rPr>
                      <w:rFonts w:hint="eastAsia"/>
                      <w:sz w:val="18"/>
                      <w:szCs w:val="18"/>
                    </w:rPr>
                    <w:t>40</w:t>
                  </w:r>
                </w:p>
              </w:tc>
              <w:tc>
                <w:tcPr>
                  <w:tcW w:w="480" w:type="pct"/>
                  <w:noWrap w:val="0"/>
                  <w:vAlign w:val="center"/>
                </w:tcPr>
                <w:p>
                  <w:pPr>
                    <w:adjustRightInd w:val="0"/>
                    <w:snapToGrid w:val="0"/>
                    <w:jc w:val="center"/>
                    <w:rPr>
                      <w:sz w:val="18"/>
                      <w:szCs w:val="18"/>
                    </w:rPr>
                  </w:pPr>
                  <w:r>
                    <w:rPr>
                      <w:rFonts w:hint="eastAsia"/>
                      <w:sz w:val="18"/>
                      <w:szCs w:val="18"/>
                    </w:rPr>
                    <w:t>20</w:t>
                  </w:r>
                </w:p>
              </w:tc>
              <w:tc>
                <w:tcPr>
                  <w:tcW w:w="480" w:type="pct"/>
                  <w:noWrap w:val="0"/>
                  <w:vAlign w:val="center"/>
                </w:tcPr>
                <w:p>
                  <w:pPr>
                    <w:adjustRightInd w:val="0"/>
                    <w:snapToGrid w:val="0"/>
                    <w:jc w:val="center"/>
                    <w:rPr>
                      <w:sz w:val="18"/>
                      <w:szCs w:val="18"/>
                    </w:rPr>
                  </w:pPr>
                  <w:r>
                    <w:rPr>
                      <w:rFonts w:hint="eastAsia"/>
                      <w:sz w:val="18"/>
                      <w:szCs w:val="18"/>
                    </w:rPr>
                    <w:t>20</w:t>
                  </w:r>
                </w:p>
              </w:tc>
              <w:tc>
                <w:tcPr>
                  <w:tcW w:w="465" w:type="pct"/>
                  <w:noWrap w:val="0"/>
                  <w:vAlign w:val="center"/>
                </w:tcPr>
                <w:p>
                  <w:pPr>
                    <w:adjustRightInd w:val="0"/>
                    <w:snapToGrid w:val="0"/>
                    <w:jc w:val="center"/>
                    <w:rPr>
                      <w:sz w:val="18"/>
                      <w:szCs w:val="18"/>
                    </w:rPr>
                  </w:pPr>
                  <w:r>
                    <w:rPr>
                      <w:rFonts w:hint="eastAsia"/>
                      <w:sz w:val="18"/>
                      <w:szCs w:val="18"/>
                    </w:rPr>
                    <w:t>/</w:t>
                  </w:r>
                </w:p>
              </w:tc>
              <w:tc>
                <w:tcPr>
                  <w:tcW w:w="465" w:type="pct"/>
                  <w:noWrap w:val="0"/>
                  <w:vAlign w:val="center"/>
                </w:tcPr>
                <w:p>
                  <w:pPr>
                    <w:adjustRightInd w:val="0"/>
                    <w:snapToGrid w:val="0"/>
                    <w:jc w:val="center"/>
                    <w:rPr>
                      <w:sz w:val="18"/>
                      <w:szCs w:val="18"/>
                    </w:rPr>
                  </w:pPr>
                  <w:r>
                    <w:rPr>
                      <w:rFonts w:hint="eastAsia"/>
                      <w:sz w:val="18"/>
                      <w:szCs w:val="18"/>
                    </w:rPr>
                    <w:t>30</w:t>
                  </w:r>
                </w:p>
              </w:tc>
              <w:tc>
                <w:tcPr>
                  <w:tcW w:w="465" w:type="pct"/>
                  <w:noWrap w:val="0"/>
                  <w:vAlign w:val="center"/>
                </w:tcPr>
                <w:p>
                  <w:pPr>
                    <w:adjustRightInd w:val="0"/>
                    <w:snapToGrid w:val="0"/>
                    <w:jc w:val="center"/>
                    <w:rPr>
                      <w:sz w:val="18"/>
                      <w:szCs w:val="18"/>
                    </w:rPr>
                  </w:pPr>
                  <w:r>
                    <w:rPr>
                      <w:rFonts w:hint="eastAsia"/>
                      <w:sz w:val="18"/>
                      <w:szCs w:val="18"/>
                    </w:rPr>
                    <w:t>10</w:t>
                  </w:r>
                </w:p>
              </w:tc>
              <w:tc>
                <w:tcPr>
                  <w:tcW w:w="465" w:type="pct"/>
                  <w:noWrap w:val="0"/>
                  <w:vAlign w:val="center"/>
                </w:tcPr>
                <w:p>
                  <w:pPr>
                    <w:adjustRightInd w:val="0"/>
                    <w:snapToGrid w:val="0"/>
                    <w:jc w:val="center"/>
                    <w:rPr>
                      <w:sz w:val="18"/>
                      <w:szCs w:val="18"/>
                    </w:rPr>
                  </w:pPr>
                  <w:r>
                    <w:rPr>
                      <w:rFonts w:hint="eastAsia"/>
                      <w:sz w:val="18"/>
                      <w:szCs w:val="18"/>
                    </w:rPr>
                    <w:t>30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continue"/>
                  <w:noWrap w:val="0"/>
                  <w:vAlign w:val="center"/>
                </w:tcPr>
                <w:p>
                  <w:pPr>
                    <w:adjustRightInd w:val="0"/>
                    <w:snapToGrid w:val="0"/>
                    <w:jc w:val="center"/>
                    <w:rPr>
                      <w:sz w:val="18"/>
                      <w:szCs w:val="18"/>
                    </w:rPr>
                  </w:pPr>
                </w:p>
              </w:tc>
              <w:tc>
                <w:tcPr>
                  <w:tcW w:w="732" w:type="pct"/>
                  <w:noWrap w:val="0"/>
                  <w:vAlign w:val="center"/>
                </w:tcPr>
                <w:p>
                  <w:pPr>
                    <w:adjustRightInd w:val="0"/>
                    <w:snapToGrid w:val="0"/>
                    <w:jc w:val="center"/>
                    <w:rPr>
                      <w:sz w:val="18"/>
                      <w:szCs w:val="18"/>
                    </w:rPr>
                  </w:pPr>
                  <w:r>
                    <w:rPr>
                      <w:sz w:val="18"/>
                      <w:szCs w:val="18"/>
                    </w:rPr>
                    <w:t>出水浓度（mg/L）</w:t>
                  </w:r>
                </w:p>
              </w:tc>
              <w:tc>
                <w:tcPr>
                  <w:tcW w:w="615" w:type="pct"/>
                  <w:noWrap w:val="0"/>
                  <w:vAlign w:val="center"/>
                </w:tcPr>
                <w:p>
                  <w:pPr>
                    <w:adjustRightInd w:val="0"/>
                    <w:snapToGrid w:val="0"/>
                    <w:jc w:val="center"/>
                    <w:rPr>
                      <w:sz w:val="18"/>
                      <w:szCs w:val="18"/>
                    </w:rPr>
                  </w:pPr>
                  <w:r>
                    <w:rPr>
                      <w:rFonts w:hint="eastAsia"/>
                      <w:sz w:val="18"/>
                      <w:szCs w:val="18"/>
                    </w:rPr>
                    <w:t>248.43</w:t>
                  </w:r>
                </w:p>
              </w:tc>
              <w:tc>
                <w:tcPr>
                  <w:tcW w:w="480" w:type="pct"/>
                  <w:noWrap w:val="0"/>
                  <w:vAlign w:val="center"/>
                </w:tcPr>
                <w:p>
                  <w:pPr>
                    <w:adjustRightInd w:val="0"/>
                    <w:snapToGrid w:val="0"/>
                    <w:jc w:val="center"/>
                    <w:rPr>
                      <w:sz w:val="18"/>
                      <w:szCs w:val="18"/>
                    </w:rPr>
                  </w:pPr>
                  <w:r>
                    <w:rPr>
                      <w:rFonts w:hint="eastAsia"/>
                      <w:sz w:val="18"/>
                      <w:szCs w:val="18"/>
                    </w:rPr>
                    <w:t>117.6</w:t>
                  </w:r>
                </w:p>
              </w:tc>
              <w:tc>
                <w:tcPr>
                  <w:tcW w:w="480" w:type="pct"/>
                  <w:noWrap w:val="0"/>
                  <w:vAlign w:val="center"/>
                </w:tcPr>
                <w:p>
                  <w:pPr>
                    <w:adjustRightInd w:val="0"/>
                    <w:snapToGrid w:val="0"/>
                    <w:jc w:val="center"/>
                    <w:rPr>
                      <w:sz w:val="18"/>
                      <w:szCs w:val="18"/>
                    </w:rPr>
                  </w:pPr>
                  <w:r>
                    <w:rPr>
                      <w:rFonts w:hint="eastAsia"/>
                      <w:sz w:val="18"/>
                      <w:szCs w:val="18"/>
                    </w:rPr>
                    <w:t>142.4</w:t>
                  </w:r>
                </w:p>
              </w:tc>
              <w:tc>
                <w:tcPr>
                  <w:tcW w:w="480" w:type="pct"/>
                  <w:noWrap w:val="0"/>
                  <w:vAlign w:val="center"/>
                </w:tcPr>
                <w:p>
                  <w:pPr>
                    <w:adjustRightInd w:val="0"/>
                    <w:snapToGrid w:val="0"/>
                    <w:jc w:val="center"/>
                    <w:rPr>
                      <w:sz w:val="18"/>
                      <w:szCs w:val="18"/>
                    </w:rPr>
                  </w:pPr>
                  <w:r>
                    <w:rPr>
                      <w:rFonts w:hint="eastAsia"/>
                      <w:sz w:val="18"/>
                      <w:szCs w:val="18"/>
                    </w:rPr>
                    <w:t>2.02</w:t>
                  </w:r>
                </w:p>
              </w:tc>
              <w:tc>
                <w:tcPr>
                  <w:tcW w:w="465" w:type="pct"/>
                  <w:noWrap w:val="0"/>
                  <w:vAlign w:val="center"/>
                </w:tcPr>
                <w:p>
                  <w:pPr>
                    <w:adjustRightInd w:val="0"/>
                    <w:snapToGrid w:val="0"/>
                    <w:jc w:val="center"/>
                    <w:rPr>
                      <w:sz w:val="18"/>
                      <w:szCs w:val="18"/>
                    </w:rPr>
                  </w:pPr>
                  <w:r>
                    <w:rPr>
                      <w:rFonts w:hint="eastAsia"/>
                      <w:sz w:val="18"/>
                      <w:szCs w:val="18"/>
                    </w:rPr>
                    <w:t>7.02</w:t>
                  </w:r>
                </w:p>
              </w:tc>
              <w:tc>
                <w:tcPr>
                  <w:tcW w:w="465" w:type="pct"/>
                  <w:noWrap w:val="0"/>
                  <w:vAlign w:val="center"/>
                </w:tcPr>
                <w:p>
                  <w:pPr>
                    <w:adjustRightInd w:val="0"/>
                    <w:snapToGrid w:val="0"/>
                    <w:jc w:val="center"/>
                    <w:rPr>
                      <w:sz w:val="18"/>
                      <w:szCs w:val="18"/>
                    </w:rPr>
                  </w:pPr>
                  <w:r>
                    <w:rPr>
                      <w:rFonts w:hint="eastAsia"/>
                      <w:sz w:val="18"/>
                      <w:szCs w:val="18"/>
                    </w:rPr>
                    <w:t>16.38</w:t>
                  </w:r>
                </w:p>
              </w:tc>
              <w:tc>
                <w:tcPr>
                  <w:tcW w:w="465" w:type="pct"/>
                  <w:noWrap w:val="0"/>
                  <w:vAlign w:val="center"/>
                </w:tcPr>
                <w:p>
                  <w:pPr>
                    <w:adjustRightInd w:val="0"/>
                    <w:snapToGrid w:val="0"/>
                    <w:jc w:val="center"/>
                    <w:rPr>
                      <w:sz w:val="18"/>
                      <w:szCs w:val="18"/>
                    </w:rPr>
                  </w:pPr>
                  <w:r>
                    <w:rPr>
                      <w:rFonts w:hint="eastAsia"/>
                      <w:sz w:val="18"/>
                      <w:szCs w:val="18"/>
                    </w:rPr>
                    <w:t>2.53</w:t>
                  </w:r>
                </w:p>
              </w:tc>
              <w:tc>
                <w:tcPr>
                  <w:tcW w:w="465" w:type="pct"/>
                  <w:noWrap w:val="0"/>
                  <w:vAlign w:val="center"/>
                </w:tcPr>
                <w:p>
                  <w:pPr>
                    <w:adjustRightInd w:val="0"/>
                    <w:snapToGrid w:val="0"/>
                    <w:jc w:val="center"/>
                    <w:rPr>
                      <w:sz w:val="18"/>
                      <w:szCs w:val="18"/>
                    </w:rPr>
                  </w:pPr>
                  <w:r>
                    <w:rPr>
                      <w:rFonts w:hint="eastAsia"/>
                      <w:sz w:val="18"/>
                      <w:szCs w:val="18"/>
                    </w:rPr>
                    <w:t>100.8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restart"/>
                  <w:noWrap w:val="0"/>
                  <w:vAlign w:val="center"/>
                </w:tcPr>
                <w:p>
                  <w:pPr>
                    <w:adjustRightInd w:val="0"/>
                    <w:snapToGrid w:val="0"/>
                    <w:jc w:val="center"/>
                    <w:rPr>
                      <w:rFonts w:hint="eastAsia" w:eastAsia="宋体"/>
                      <w:sz w:val="18"/>
                      <w:szCs w:val="18"/>
                      <w:lang w:eastAsia="zh-CN"/>
                    </w:rPr>
                  </w:pPr>
                  <w:r>
                    <w:rPr>
                      <w:rFonts w:hint="eastAsia"/>
                      <w:sz w:val="18"/>
                      <w:szCs w:val="18"/>
                      <w:lang w:eastAsia="zh-CN"/>
                    </w:rPr>
                    <w:t>接触氧化</w:t>
                  </w:r>
                </w:p>
              </w:tc>
              <w:tc>
                <w:tcPr>
                  <w:tcW w:w="732" w:type="pct"/>
                  <w:noWrap w:val="0"/>
                  <w:vAlign w:val="center"/>
                </w:tcPr>
                <w:p>
                  <w:pPr>
                    <w:adjustRightInd w:val="0"/>
                    <w:snapToGrid w:val="0"/>
                    <w:jc w:val="center"/>
                    <w:rPr>
                      <w:sz w:val="18"/>
                      <w:szCs w:val="18"/>
                    </w:rPr>
                  </w:pPr>
                  <w:r>
                    <w:rPr>
                      <w:sz w:val="18"/>
                      <w:szCs w:val="18"/>
                    </w:rPr>
                    <w:t>进水浓度（mg/L）</w:t>
                  </w:r>
                </w:p>
              </w:tc>
              <w:tc>
                <w:tcPr>
                  <w:tcW w:w="615" w:type="pct"/>
                  <w:noWrap w:val="0"/>
                  <w:vAlign w:val="center"/>
                </w:tcPr>
                <w:p>
                  <w:pPr>
                    <w:adjustRightInd w:val="0"/>
                    <w:snapToGrid w:val="0"/>
                    <w:jc w:val="center"/>
                    <w:rPr>
                      <w:sz w:val="18"/>
                      <w:szCs w:val="18"/>
                    </w:rPr>
                  </w:pPr>
                  <w:r>
                    <w:rPr>
                      <w:rFonts w:hint="eastAsia"/>
                      <w:sz w:val="18"/>
                      <w:szCs w:val="18"/>
                    </w:rPr>
                    <w:t>248.43</w:t>
                  </w:r>
                </w:p>
              </w:tc>
              <w:tc>
                <w:tcPr>
                  <w:tcW w:w="480" w:type="pct"/>
                  <w:noWrap w:val="0"/>
                  <w:vAlign w:val="center"/>
                </w:tcPr>
                <w:p>
                  <w:pPr>
                    <w:adjustRightInd w:val="0"/>
                    <w:snapToGrid w:val="0"/>
                    <w:jc w:val="center"/>
                    <w:rPr>
                      <w:sz w:val="18"/>
                      <w:szCs w:val="18"/>
                    </w:rPr>
                  </w:pPr>
                  <w:r>
                    <w:rPr>
                      <w:rFonts w:hint="eastAsia"/>
                      <w:sz w:val="18"/>
                      <w:szCs w:val="18"/>
                    </w:rPr>
                    <w:t>117.6</w:t>
                  </w:r>
                </w:p>
              </w:tc>
              <w:tc>
                <w:tcPr>
                  <w:tcW w:w="480" w:type="pct"/>
                  <w:noWrap w:val="0"/>
                  <w:vAlign w:val="center"/>
                </w:tcPr>
                <w:p>
                  <w:pPr>
                    <w:adjustRightInd w:val="0"/>
                    <w:snapToGrid w:val="0"/>
                    <w:jc w:val="center"/>
                    <w:rPr>
                      <w:sz w:val="18"/>
                      <w:szCs w:val="18"/>
                    </w:rPr>
                  </w:pPr>
                  <w:r>
                    <w:rPr>
                      <w:rFonts w:hint="eastAsia"/>
                      <w:sz w:val="18"/>
                      <w:szCs w:val="18"/>
                    </w:rPr>
                    <w:t>142.4</w:t>
                  </w:r>
                </w:p>
              </w:tc>
              <w:tc>
                <w:tcPr>
                  <w:tcW w:w="480" w:type="pct"/>
                  <w:noWrap w:val="0"/>
                  <w:vAlign w:val="center"/>
                </w:tcPr>
                <w:p>
                  <w:pPr>
                    <w:adjustRightInd w:val="0"/>
                    <w:snapToGrid w:val="0"/>
                    <w:jc w:val="center"/>
                    <w:rPr>
                      <w:sz w:val="18"/>
                      <w:szCs w:val="18"/>
                    </w:rPr>
                  </w:pPr>
                  <w:r>
                    <w:rPr>
                      <w:rFonts w:hint="eastAsia"/>
                      <w:sz w:val="18"/>
                      <w:szCs w:val="18"/>
                    </w:rPr>
                    <w:t>2.02</w:t>
                  </w:r>
                </w:p>
              </w:tc>
              <w:tc>
                <w:tcPr>
                  <w:tcW w:w="465" w:type="pct"/>
                  <w:noWrap w:val="0"/>
                  <w:vAlign w:val="center"/>
                </w:tcPr>
                <w:p>
                  <w:pPr>
                    <w:adjustRightInd w:val="0"/>
                    <w:snapToGrid w:val="0"/>
                    <w:jc w:val="center"/>
                    <w:rPr>
                      <w:sz w:val="18"/>
                      <w:szCs w:val="18"/>
                    </w:rPr>
                  </w:pPr>
                  <w:r>
                    <w:rPr>
                      <w:rFonts w:hint="eastAsia"/>
                      <w:sz w:val="18"/>
                      <w:szCs w:val="18"/>
                    </w:rPr>
                    <w:t>7.02</w:t>
                  </w:r>
                </w:p>
              </w:tc>
              <w:tc>
                <w:tcPr>
                  <w:tcW w:w="465" w:type="pct"/>
                  <w:noWrap w:val="0"/>
                  <w:vAlign w:val="center"/>
                </w:tcPr>
                <w:p>
                  <w:pPr>
                    <w:adjustRightInd w:val="0"/>
                    <w:snapToGrid w:val="0"/>
                    <w:jc w:val="center"/>
                    <w:rPr>
                      <w:sz w:val="18"/>
                      <w:szCs w:val="18"/>
                    </w:rPr>
                  </w:pPr>
                  <w:r>
                    <w:rPr>
                      <w:rFonts w:hint="eastAsia"/>
                      <w:sz w:val="18"/>
                      <w:szCs w:val="18"/>
                    </w:rPr>
                    <w:t>16.38</w:t>
                  </w:r>
                </w:p>
              </w:tc>
              <w:tc>
                <w:tcPr>
                  <w:tcW w:w="465" w:type="pct"/>
                  <w:noWrap w:val="0"/>
                  <w:vAlign w:val="center"/>
                </w:tcPr>
                <w:p>
                  <w:pPr>
                    <w:adjustRightInd w:val="0"/>
                    <w:snapToGrid w:val="0"/>
                    <w:jc w:val="center"/>
                    <w:rPr>
                      <w:sz w:val="18"/>
                      <w:szCs w:val="18"/>
                    </w:rPr>
                  </w:pPr>
                  <w:r>
                    <w:rPr>
                      <w:rFonts w:hint="eastAsia"/>
                      <w:sz w:val="18"/>
                      <w:szCs w:val="18"/>
                    </w:rPr>
                    <w:t>2.53</w:t>
                  </w:r>
                </w:p>
              </w:tc>
              <w:tc>
                <w:tcPr>
                  <w:tcW w:w="465" w:type="pct"/>
                  <w:noWrap w:val="0"/>
                  <w:vAlign w:val="center"/>
                </w:tcPr>
                <w:p>
                  <w:pPr>
                    <w:adjustRightInd w:val="0"/>
                    <w:snapToGrid w:val="0"/>
                    <w:jc w:val="center"/>
                    <w:rPr>
                      <w:sz w:val="18"/>
                      <w:szCs w:val="18"/>
                    </w:rPr>
                  </w:pPr>
                  <w:r>
                    <w:rPr>
                      <w:rFonts w:hint="eastAsia"/>
                      <w:sz w:val="18"/>
                      <w:szCs w:val="18"/>
                    </w:rPr>
                    <w:t>100.8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382" w:hRule="atLeast"/>
                <w:jc w:val="center"/>
              </w:trPr>
              <w:tc>
                <w:tcPr>
                  <w:tcW w:w="350" w:type="pct"/>
                  <w:vMerge w:val="continue"/>
                  <w:noWrap w:val="0"/>
                  <w:vAlign w:val="center"/>
                </w:tcPr>
                <w:p>
                  <w:pPr>
                    <w:adjustRightInd w:val="0"/>
                    <w:snapToGrid w:val="0"/>
                    <w:jc w:val="center"/>
                    <w:rPr>
                      <w:sz w:val="18"/>
                      <w:szCs w:val="18"/>
                    </w:rPr>
                  </w:pPr>
                </w:p>
              </w:tc>
              <w:tc>
                <w:tcPr>
                  <w:tcW w:w="732" w:type="pct"/>
                  <w:noWrap w:val="0"/>
                  <w:vAlign w:val="center"/>
                </w:tcPr>
                <w:p>
                  <w:pPr>
                    <w:adjustRightInd w:val="0"/>
                    <w:snapToGrid w:val="0"/>
                    <w:jc w:val="center"/>
                    <w:rPr>
                      <w:sz w:val="18"/>
                      <w:szCs w:val="18"/>
                    </w:rPr>
                  </w:pPr>
                  <w:r>
                    <w:rPr>
                      <w:sz w:val="18"/>
                      <w:szCs w:val="18"/>
                    </w:rPr>
                    <w:t>去除率</w:t>
                  </w:r>
                  <w:r>
                    <w:rPr>
                      <w:rFonts w:hint="eastAsia"/>
                      <w:sz w:val="18"/>
                      <w:szCs w:val="18"/>
                    </w:rPr>
                    <w:t>%</w:t>
                  </w:r>
                </w:p>
              </w:tc>
              <w:tc>
                <w:tcPr>
                  <w:tcW w:w="615" w:type="pct"/>
                  <w:noWrap w:val="0"/>
                  <w:vAlign w:val="center"/>
                </w:tcPr>
                <w:p>
                  <w:pPr>
                    <w:adjustRightInd w:val="0"/>
                    <w:snapToGrid w:val="0"/>
                    <w:jc w:val="center"/>
                    <w:rPr>
                      <w:sz w:val="18"/>
                      <w:szCs w:val="18"/>
                    </w:rPr>
                  </w:pPr>
                  <w:r>
                    <w:rPr>
                      <w:rFonts w:hint="eastAsia"/>
                      <w:sz w:val="18"/>
                      <w:szCs w:val="18"/>
                    </w:rPr>
                    <w:t>60</w:t>
                  </w:r>
                </w:p>
              </w:tc>
              <w:tc>
                <w:tcPr>
                  <w:tcW w:w="480" w:type="pct"/>
                  <w:noWrap w:val="0"/>
                  <w:vAlign w:val="center"/>
                </w:tcPr>
                <w:p>
                  <w:pPr>
                    <w:adjustRightInd w:val="0"/>
                    <w:snapToGrid w:val="0"/>
                    <w:jc w:val="center"/>
                    <w:rPr>
                      <w:sz w:val="18"/>
                      <w:szCs w:val="18"/>
                    </w:rPr>
                  </w:pPr>
                  <w:r>
                    <w:rPr>
                      <w:rFonts w:hint="eastAsia"/>
                      <w:sz w:val="18"/>
                      <w:szCs w:val="18"/>
                    </w:rPr>
                    <w:t>85</w:t>
                  </w:r>
                </w:p>
              </w:tc>
              <w:tc>
                <w:tcPr>
                  <w:tcW w:w="480" w:type="pct"/>
                  <w:noWrap w:val="0"/>
                  <w:vAlign w:val="center"/>
                </w:tcPr>
                <w:p>
                  <w:pPr>
                    <w:adjustRightInd w:val="0"/>
                    <w:snapToGrid w:val="0"/>
                    <w:jc w:val="center"/>
                    <w:rPr>
                      <w:sz w:val="18"/>
                      <w:szCs w:val="18"/>
                    </w:rPr>
                  </w:pPr>
                  <w:r>
                    <w:rPr>
                      <w:rFonts w:hint="eastAsia"/>
                      <w:sz w:val="18"/>
                      <w:szCs w:val="18"/>
                    </w:rPr>
                    <w:t>30</w:t>
                  </w:r>
                </w:p>
              </w:tc>
              <w:tc>
                <w:tcPr>
                  <w:tcW w:w="480" w:type="pct"/>
                  <w:noWrap w:val="0"/>
                  <w:vAlign w:val="center"/>
                </w:tcPr>
                <w:p>
                  <w:pPr>
                    <w:adjustRightInd w:val="0"/>
                    <w:snapToGrid w:val="0"/>
                    <w:jc w:val="center"/>
                    <w:rPr>
                      <w:sz w:val="18"/>
                      <w:szCs w:val="18"/>
                    </w:rPr>
                  </w:pPr>
                  <w:r>
                    <w:rPr>
                      <w:rFonts w:hint="eastAsia"/>
                      <w:sz w:val="18"/>
                      <w:szCs w:val="18"/>
                    </w:rPr>
                    <w:t>75</w:t>
                  </w:r>
                </w:p>
              </w:tc>
              <w:tc>
                <w:tcPr>
                  <w:tcW w:w="465" w:type="pct"/>
                  <w:noWrap w:val="0"/>
                  <w:vAlign w:val="center"/>
                </w:tcPr>
                <w:p>
                  <w:pPr>
                    <w:adjustRightInd w:val="0"/>
                    <w:snapToGrid w:val="0"/>
                    <w:jc w:val="center"/>
                    <w:rPr>
                      <w:sz w:val="18"/>
                      <w:szCs w:val="18"/>
                    </w:rPr>
                  </w:pPr>
                  <w:r>
                    <w:rPr>
                      <w:rFonts w:hint="eastAsia"/>
                      <w:sz w:val="18"/>
                      <w:szCs w:val="18"/>
                    </w:rPr>
                    <w:t>80</w:t>
                  </w:r>
                </w:p>
              </w:tc>
              <w:tc>
                <w:tcPr>
                  <w:tcW w:w="465" w:type="pct"/>
                  <w:noWrap w:val="0"/>
                  <w:vAlign w:val="center"/>
                </w:tcPr>
                <w:p>
                  <w:pPr>
                    <w:adjustRightInd w:val="0"/>
                    <w:snapToGrid w:val="0"/>
                    <w:jc w:val="center"/>
                    <w:rPr>
                      <w:sz w:val="18"/>
                      <w:szCs w:val="18"/>
                    </w:rPr>
                  </w:pPr>
                  <w:r>
                    <w:rPr>
                      <w:rFonts w:hint="eastAsia"/>
                      <w:sz w:val="18"/>
                      <w:szCs w:val="18"/>
                    </w:rPr>
                    <w:t>10</w:t>
                  </w:r>
                </w:p>
              </w:tc>
              <w:tc>
                <w:tcPr>
                  <w:tcW w:w="465" w:type="pct"/>
                  <w:noWrap w:val="0"/>
                  <w:vAlign w:val="center"/>
                </w:tcPr>
                <w:p>
                  <w:pPr>
                    <w:adjustRightInd w:val="0"/>
                    <w:snapToGrid w:val="0"/>
                    <w:jc w:val="center"/>
                    <w:rPr>
                      <w:sz w:val="18"/>
                      <w:szCs w:val="18"/>
                    </w:rPr>
                  </w:pPr>
                  <w:r>
                    <w:rPr>
                      <w:rFonts w:hint="eastAsia"/>
                      <w:sz w:val="18"/>
                      <w:szCs w:val="18"/>
                    </w:rPr>
                    <w:t>30</w:t>
                  </w:r>
                </w:p>
              </w:tc>
              <w:tc>
                <w:tcPr>
                  <w:tcW w:w="465" w:type="pct"/>
                  <w:noWrap w:val="0"/>
                  <w:vAlign w:val="center"/>
                </w:tcPr>
                <w:p>
                  <w:pPr>
                    <w:adjustRightInd w:val="0"/>
                    <w:snapToGrid w:val="0"/>
                    <w:jc w:val="center"/>
                    <w:rPr>
                      <w:sz w:val="18"/>
                      <w:szCs w:val="18"/>
                    </w:rPr>
                  </w:pPr>
                  <w:r>
                    <w:rPr>
                      <w:rFonts w:hint="eastAsia"/>
                      <w:sz w:val="18"/>
                      <w:szCs w:val="18"/>
                    </w:rPr>
                    <w:t>50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continue"/>
                  <w:noWrap w:val="0"/>
                  <w:vAlign w:val="center"/>
                </w:tcPr>
                <w:p>
                  <w:pPr>
                    <w:adjustRightInd w:val="0"/>
                    <w:snapToGrid w:val="0"/>
                    <w:jc w:val="center"/>
                    <w:rPr>
                      <w:sz w:val="18"/>
                      <w:szCs w:val="18"/>
                    </w:rPr>
                  </w:pPr>
                </w:p>
              </w:tc>
              <w:tc>
                <w:tcPr>
                  <w:tcW w:w="732" w:type="pct"/>
                  <w:noWrap w:val="0"/>
                  <w:vAlign w:val="center"/>
                </w:tcPr>
                <w:p>
                  <w:pPr>
                    <w:adjustRightInd w:val="0"/>
                    <w:snapToGrid w:val="0"/>
                    <w:jc w:val="center"/>
                    <w:rPr>
                      <w:sz w:val="18"/>
                      <w:szCs w:val="18"/>
                    </w:rPr>
                  </w:pPr>
                  <w:r>
                    <w:rPr>
                      <w:sz w:val="18"/>
                      <w:szCs w:val="18"/>
                    </w:rPr>
                    <w:t>出水浓度（mg/L）</w:t>
                  </w:r>
                </w:p>
              </w:tc>
              <w:tc>
                <w:tcPr>
                  <w:tcW w:w="615" w:type="pct"/>
                  <w:noWrap w:val="0"/>
                  <w:vAlign w:val="center"/>
                </w:tcPr>
                <w:p>
                  <w:pPr>
                    <w:adjustRightInd w:val="0"/>
                    <w:snapToGrid w:val="0"/>
                    <w:jc w:val="center"/>
                    <w:rPr>
                      <w:sz w:val="18"/>
                      <w:szCs w:val="18"/>
                    </w:rPr>
                  </w:pPr>
                  <w:r>
                    <w:rPr>
                      <w:rFonts w:hint="eastAsia"/>
                      <w:sz w:val="18"/>
                      <w:szCs w:val="18"/>
                    </w:rPr>
                    <w:t>99.37</w:t>
                  </w:r>
                </w:p>
              </w:tc>
              <w:tc>
                <w:tcPr>
                  <w:tcW w:w="480" w:type="pct"/>
                  <w:noWrap w:val="0"/>
                  <w:vAlign w:val="center"/>
                </w:tcPr>
                <w:p>
                  <w:pPr>
                    <w:adjustRightInd w:val="0"/>
                    <w:snapToGrid w:val="0"/>
                    <w:jc w:val="center"/>
                    <w:rPr>
                      <w:sz w:val="18"/>
                      <w:szCs w:val="18"/>
                    </w:rPr>
                  </w:pPr>
                  <w:r>
                    <w:rPr>
                      <w:rFonts w:hint="eastAsia"/>
                      <w:sz w:val="18"/>
                      <w:szCs w:val="18"/>
                    </w:rPr>
                    <w:t>17.64</w:t>
                  </w:r>
                </w:p>
              </w:tc>
              <w:tc>
                <w:tcPr>
                  <w:tcW w:w="480" w:type="pct"/>
                  <w:noWrap w:val="0"/>
                  <w:vAlign w:val="center"/>
                </w:tcPr>
                <w:p>
                  <w:pPr>
                    <w:adjustRightInd w:val="0"/>
                    <w:snapToGrid w:val="0"/>
                    <w:jc w:val="center"/>
                    <w:rPr>
                      <w:sz w:val="18"/>
                      <w:szCs w:val="18"/>
                    </w:rPr>
                  </w:pPr>
                  <w:r>
                    <w:rPr>
                      <w:rFonts w:hint="eastAsia"/>
                      <w:sz w:val="18"/>
                      <w:szCs w:val="18"/>
                    </w:rPr>
                    <w:t>99.68</w:t>
                  </w:r>
                </w:p>
              </w:tc>
              <w:tc>
                <w:tcPr>
                  <w:tcW w:w="480" w:type="pct"/>
                  <w:noWrap w:val="0"/>
                  <w:vAlign w:val="center"/>
                </w:tcPr>
                <w:p>
                  <w:pPr>
                    <w:adjustRightInd w:val="0"/>
                    <w:snapToGrid w:val="0"/>
                    <w:jc w:val="center"/>
                    <w:rPr>
                      <w:sz w:val="18"/>
                      <w:szCs w:val="18"/>
                    </w:rPr>
                  </w:pPr>
                  <w:r>
                    <w:rPr>
                      <w:rFonts w:hint="eastAsia"/>
                      <w:sz w:val="18"/>
                      <w:szCs w:val="18"/>
                    </w:rPr>
                    <w:t>0.5</w:t>
                  </w:r>
                </w:p>
              </w:tc>
              <w:tc>
                <w:tcPr>
                  <w:tcW w:w="465" w:type="pct"/>
                  <w:noWrap w:val="0"/>
                  <w:vAlign w:val="center"/>
                </w:tcPr>
                <w:p>
                  <w:pPr>
                    <w:adjustRightInd w:val="0"/>
                    <w:snapToGrid w:val="0"/>
                    <w:jc w:val="center"/>
                    <w:rPr>
                      <w:sz w:val="18"/>
                      <w:szCs w:val="18"/>
                    </w:rPr>
                  </w:pPr>
                  <w:r>
                    <w:rPr>
                      <w:rFonts w:hint="eastAsia"/>
                      <w:sz w:val="18"/>
                      <w:szCs w:val="18"/>
                    </w:rPr>
                    <w:t>1.4</w:t>
                  </w:r>
                </w:p>
              </w:tc>
              <w:tc>
                <w:tcPr>
                  <w:tcW w:w="465" w:type="pct"/>
                  <w:noWrap w:val="0"/>
                  <w:vAlign w:val="center"/>
                </w:tcPr>
                <w:p>
                  <w:pPr>
                    <w:adjustRightInd w:val="0"/>
                    <w:snapToGrid w:val="0"/>
                    <w:jc w:val="center"/>
                    <w:rPr>
                      <w:sz w:val="18"/>
                      <w:szCs w:val="18"/>
                    </w:rPr>
                  </w:pPr>
                  <w:r>
                    <w:rPr>
                      <w:rFonts w:hint="eastAsia"/>
                      <w:sz w:val="18"/>
                      <w:szCs w:val="18"/>
                    </w:rPr>
                    <w:t>14.74</w:t>
                  </w:r>
                </w:p>
              </w:tc>
              <w:tc>
                <w:tcPr>
                  <w:tcW w:w="465" w:type="pct"/>
                  <w:noWrap w:val="0"/>
                  <w:vAlign w:val="center"/>
                </w:tcPr>
                <w:p>
                  <w:pPr>
                    <w:adjustRightInd w:val="0"/>
                    <w:snapToGrid w:val="0"/>
                    <w:jc w:val="center"/>
                    <w:rPr>
                      <w:sz w:val="18"/>
                      <w:szCs w:val="18"/>
                    </w:rPr>
                  </w:pPr>
                  <w:r>
                    <w:rPr>
                      <w:rFonts w:hint="eastAsia"/>
                      <w:sz w:val="18"/>
                      <w:szCs w:val="18"/>
                    </w:rPr>
                    <w:t>1.77</w:t>
                  </w:r>
                </w:p>
              </w:tc>
              <w:tc>
                <w:tcPr>
                  <w:tcW w:w="465" w:type="pct"/>
                  <w:noWrap w:val="0"/>
                  <w:vAlign w:val="center"/>
                </w:tcPr>
                <w:p>
                  <w:pPr>
                    <w:adjustRightInd w:val="0"/>
                    <w:snapToGrid w:val="0"/>
                    <w:jc w:val="center"/>
                    <w:rPr>
                      <w:sz w:val="18"/>
                      <w:szCs w:val="18"/>
                    </w:rPr>
                  </w:pPr>
                  <w:r>
                    <w:rPr>
                      <w:rFonts w:hint="eastAsia"/>
                      <w:sz w:val="18"/>
                      <w:szCs w:val="18"/>
                    </w:rPr>
                    <w:t>50.4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restart"/>
                  <w:noWrap w:val="0"/>
                  <w:vAlign w:val="center"/>
                </w:tcPr>
                <w:p>
                  <w:pPr>
                    <w:adjustRightInd w:val="0"/>
                    <w:snapToGrid w:val="0"/>
                    <w:jc w:val="center"/>
                    <w:rPr>
                      <w:rFonts w:hint="eastAsia" w:eastAsia="宋体"/>
                      <w:sz w:val="18"/>
                      <w:szCs w:val="18"/>
                      <w:lang w:eastAsia="zh-CN"/>
                    </w:rPr>
                  </w:pPr>
                  <w:r>
                    <w:rPr>
                      <w:rFonts w:hint="eastAsia"/>
                      <w:sz w:val="18"/>
                      <w:szCs w:val="18"/>
                      <w:lang w:eastAsia="zh-CN"/>
                    </w:rPr>
                    <w:t>二沉池</w:t>
                  </w:r>
                </w:p>
              </w:tc>
              <w:tc>
                <w:tcPr>
                  <w:tcW w:w="732" w:type="pct"/>
                  <w:noWrap w:val="0"/>
                  <w:vAlign w:val="center"/>
                </w:tcPr>
                <w:p>
                  <w:pPr>
                    <w:adjustRightInd w:val="0"/>
                    <w:snapToGrid w:val="0"/>
                    <w:jc w:val="center"/>
                    <w:rPr>
                      <w:sz w:val="18"/>
                      <w:szCs w:val="18"/>
                    </w:rPr>
                  </w:pPr>
                  <w:r>
                    <w:rPr>
                      <w:sz w:val="18"/>
                      <w:szCs w:val="18"/>
                    </w:rPr>
                    <w:t>进水浓度（mg/L）</w:t>
                  </w:r>
                </w:p>
              </w:tc>
              <w:tc>
                <w:tcPr>
                  <w:tcW w:w="615" w:type="pct"/>
                  <w:noWrap w:val="0"/>
                  <w:vAlign w:val="center"/>
                </w:tcPr>
                <w:p>
                  <w:pPr>
                    <w:adjustRightInd w:val="0"/>
                    <w:snapToGrid w:val="0"/>
                    <w:jc w:val="center"/>
                    <w:rPr>
                      <w:sz w:val="18"/>
                      <w:szCs w:val="18"/>
                    </w:rPr>
                  </w:pPr>
                  <w:r>
                    <w:rPr>
                      <w:rFonts w:hint="eastAsia"/>
                      <w:sz w:val="18"/>
                      <w:szCs w:val="18"/>
                    </w:rPr>
                    <w:t>99.37</w:t>
                  </w:r>
                </w:p>
              </w:tc>
              <w:tc>
                <w:tcPr>
                  <w:tcW w:w="480" w:type="pct"/>
                  <w:noWrap w:val="0"/>
                  <w:vAlign w:val="center"/>
                </w:tcPr>
                <w:p>
                  <w:pPr>
                    <w:adjustRightInd w:val="0"/>
                    <w:snapToGrid w:val="0"/>
                    <w:jc w:val="center"/>
                    <w:rPr>
                      <w:sz w:val="18"/>
                      <w:szCs w:val="18"/>
                    </w:rPr>
                  </w:pPr>
                  <w:r>
                    <w:rPr>
                      <w:rFonts w:hint="eastAsia"/>
                      <w:sz w:val="18"/>
                      <w:szCs w:val="18"/>
                    </w:rPr>
                    <w:t>17.64</w:t>
                  </w:r>
                </w:p>
              </w:tc>
              <w:tc>
                <w:tcPr>
                  <w:tcW w:w="480" w:type="pct"/>
                  <w:noWrap w:val="0"/>
                  <w:vAlign w:val="center"/>
                </w:tcPr>
                <w:p>
                  <w:pPr>
                    <w:adjustRightInd w:val="0"/>
                    <w:snapToGrid w:val="0"/>
                    <w:jc w:val="center"/>
                    <w:rPr>
                      <w:sz w:val="18"/>
                      <w:szCs w:val="18"/>
                    </w:rPr>
                  </w:pPr>
                  <w:r>
                    <w:rPr>
                      <w:rFonts w:hint="eastAsia"/>
                      <w:sz w:val="18"/>
                      <w:szCs w:val="18"/>
                    </w:rPr>
                    <w:t>99.68</w:t>
                  </w:r>
                </w:p>
              </w:tc>
              <w:tc>
                <w:tcPr>
                  <w:tcW w:w="480" w:type="pct"/>
                  <w:noWrap w:val="0"/>
                  <w:vAlign w:val="center"/>
                </w:tcPr>
                <w:p>
                  <w:pPr>
                    <w:adjustRightInd w:val="0"/>
                    <w:snapToGrid w:val="0"/>
                    <w:jc w:val="center"/>
                    <w:rPr>
                      <w:sz w:val="18"/>
                      <w:szCs w:val="18"/>
                    </w:rPr>
                  </w:pPr>
                  <w:r>
                    <w:rPr>
                      <w:rFonts w:hint="eastAsia"/>
                      <w:sz w:val="18"/>
                      <w:szCs w:val="18"/>
                    </w:rPr>
                    <w:t>0.5</w:t>
                  </w:r>
                </w:p>
              </w:tc>
              <w:tc>
                <w:tcPr>
                  <w:tcW w:w="465" w:type="pct"/>
                  <w:noWrap w:val="0"/>
                  <w:vAlign w:val="center"/>
                </w:tcPr>
                <w:p>
                  <w:pPr>
                    <w:adjustRightInd w:val="0"/>
                    <w:snapToGrid w:val="0"/>
                    <w:jc w:val="center"/>
                    <w:rPr>
                      <w:sz w:val="18"/>
                      <w:szCs w:val="18"/>
                    </w:rPr>
                  </w:pPr>
                  <w:r>
                    <w:rPr>
                      <w:rFonts w:hint="eastAsia"/>
                      <w:sz w:val="18"/>
                      <w:szCs w:val="18"/>
                    </w:rPr>
                    <w:t>1.4</w:t>
                  </w:r>
                </w:p>
              </w:tc>
              <w:tc>
                <w:tcPr>
                  <w:tcW w:w="465" w:type="pct"/>
                  <w:noWrap w:val="0"/>
                  <w:vAlign w:val="center"/>
                </w:tcPr>
                <w:p>
                  <w:pPr>
                    <w:adjustRightInd w:val="0"/>
                    <w:snapToGrid w:val="0"/>
                    <w:jc w:val="center"/>
                    <w:rPr>
                      <w:sz w:val="18"/>
                      <w:szCs w:val="18"/>
                    </w:rPr>
                  </w:pPr>
                  <w:r>
                    <w:rPr>
                      <w:rFonts w:hint="eastAsia"/>
                      <w:sz w:val="18"/>
                      <w:szCs w:val="18"/>
                    </w:rPr>
                    <w:t>14.74</w:t>
                  </w:r>
                </w:p>
              </w:tc>
              <w:tc>
                <w:tcPr>
                  <w:tcW w:w="465" w:type="pct"/>
                  <w:noWrap w:val="0"/>
                  <w:vAlign w:val="center"/>
                </w:tcPr>
                <w:p>
                  <w:pPr>
                    <w:adjustRightInd w:val="0"/>
                    <w:snapToGrid w:val="0"/>
                    <w:jc w:val="center"/>
                    <w:rPr>
                      <w:sz w:val="18"/>
                      <w:szCs w:val="18"/>
                    </w:rPr>
                  </w:pPr>
                  <w:r>
                    <w:rPr>
                      <w:rFonts w:hint="eastAsia"/>
                      <w:sz w:val="18"/>
                      <w:szCs w:val="18"/>
                    </w:rPr>
                    <w:t>1.77</w:t>
                  </w:r>
                </w:p>
              </w:tc>
              <w:tc>
                <w:tcPr>
                  <w:tcW w:w="465" w:type="pct"/>
                  <w:noWrap w:val="0"/>
                  <w:vAlign w:val="center"/>
                </w:tcPr>
                <w:p>
                  <w:pPr>
                    <w:adjustRightInd w:val="0"/>
                    <w:snapToGrid w:val="0"/>
                    <w:jc w:val="center"/>
                    <w:rPr>
                      <w:sz w:val="18"/>
                      <w:szCs w:val="18"/>
                    </w:rPr>
                  </w:pPr>
                  <w:r>
                    <w:rPr>
                      <w:rFonts w:hint="eastAsia"/>
                      <w:sz w:val="18"/>
                      <w:szCs w:val="18"/>
                    </w:rPr>
                    <w:t>50.4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continue"/>
                  <w:noWrap w:val="0"/>
                  <w:vAlign w:val="center"/>
                </w:tcPr>
                <w:p>
                  <w:pPr>
                    <w:adjustRightInd w:val="0"/>
                    <w:snapToGrid w:val="0"/>
                    <w:jc w:val="center"/>
                    <w:rPr>
                      <w:sz w:val="18"/>
                      <w:szCs w:val="18"/>
                    </w:rPr>
                  </w:pPr>
                </w:p>
              </w:tc>
              <w:tc>
                <w:tcPr>
                  <w:tcW w:w="732" w:type="pct"/>
                  <w:noWrap w:val="0"/>
                  <w:vAlign w:val="center"/>
                </w:tcPr>
                <w:p>
                  <w:pPr>
                    <w:adjustRightInd w:val="0"/>
                    <w:snapToGrid w:val="0"/>
                    <w:jc w:val="center"/>
                    <w:rPr>
                      <w:sz w:val="18"/>
                      <w:szCs w:val="18"/>
                    </w:rPr>
                  </w:pPr>
                  <w:r>
                    <w:rPr>
                      <w:sz w:val="18"/>
                      <w:szCs w:val="18"/>
                    </w:rPr>
                    <w:t>去除率</w:t>
                  </w:r>
                  <w:r>
                    <w:rPr>
                      <w:rFonts w:hint="eastAsia"/>
                      <w:sz w:val="18"/>
                      <w:szCs w:val="18"/>
                    </w:rPr>
                    <w:t>%</w:t>
                  </w:r>
                </w:p>
              </w:tc>
              <w:tc>
                <w:tcPr>
                  <w:tcW w:w="615" w:type="pct"/>
                  <w:noWrap w:val="0"/>
                  <w:vAlign w:val="center"/>
                </w:tcPr>
                <w:p>
                  <w:pPr>
                    <w:adjustRightInd w:val="0"/>
                    <w:snapToGrid w:val="0"/>
                    <w:jc w:val="center"/>
                    <w:rPr>
                      <w:sz w:val="18"/>
                      <w:szCs w:val="18"/>
                    </w:rPr>
                  </w:pPr>
                  <w:r>
                    <w:rPr>
                      <w:rFonts w:hint="eastAsia"/>
                      <w:sz w:val="18"/>
                      <w:szCs w:val="18"/>
                    </w:rPr>
                    <w:t>20</w:t>
                  </w:r>
                </w:p>
              </w:tc>
              <w:tc>
                <w:tcPr>
                  <w:tcW w:w="480" w:type="pct"/>
                  <w:noWrap w:val="0"/>
                  <w:vAlign w:val="center"/>
                </w:tcPr>
                <w:p>
                  <w:pPr>
                    <w:adjustRightInd w:val="0"/>
                    <w:snapToGrid w:val="0"/>
                    <w:jc w:val="center"/>
                    <w:rPr>
                      <w:sz w:val="18"/>
                      <w:szCs w:val="18"/>
                    </w:rPr>
                  </w:pPr>
                  <w:r>
                    <w:rPr>
                      <w:rFonts w:hint="eastAsia"/>
                      <w:sz w:val="18"/>
                      <w:szCs w:val="18"/>
                    </w:rPr>
                    <w:t>30</w:t>
                  </w:r>
                </w:p>
              </w:tc>
              <w:tc>
                <w:tcPr>
                  <w:tcW w:w="480" w:type="pct"/>
                  <w:noWrap w:val="0"/>
                  <w:vAlign w:val="center"/>
                </w:tcPr>
                <w:p>
                  <w:pPr>
                    <w:adjustRightInd w:val="0"/>
                    <w:snapToGrid w:val="0"/>
                    <w:jc w:val="center"/>
                    <w:rPr>
                      <w:sz w:val="18"/>
                      <w:szCs w:val="18"/>
                    </w:rPr>
                  </w:pPr>
                  <w:r>
                    <w:rPr>
                      <w:rFonts w:hint="eastAsia"/>
                      <w:sz w:val="18"/>
                      <w:szCs w:val="18"/>
                    </w:rPr>
                    <w:t>75</w:t>
                  </w:r>
                </w:p>
              </w:tc>
              <w:tc>
                <w:tcPr>
                  <w:tcW w:w="480" w:type="pct"/>
                  <w:noWrap w:val="0"/>
                  <w:vAlign w:val="center"/>
                </w:tcPr>
                <w:p>
                  <w:pPr>
                    <w:adjustRightInd w:val="0"/>
                    <w:snapToGrid w:val="0"/>
                    <w:jc w:val="center"/>
                    <w:rPr>
                      <w:sz w:val="18"/>
                      <w:szCs w:val="18"/>
                    </w:rPr>
                  </w:pPr>
                  <w:r>
                    <w:rPr>
                      <w:rFonts w:hint="eastAsia"/>
                      <w:sz w:val="18"/>
                      <w:szCs w:val="18"/>
                    </w:rPr>
                    <w:t>20</w:t>
                  </w:r>
                </w:p>
              </w:tc>
              <w:tc>
                <w:tcPr>
                  <w:tcW w:w="465" w:type="pct"/>
                  <w:noWrap w:val="0"/>
                  <w:vAlign w:val="center"/>
                </w:tcPr>
                <w:p>
                  <w:pPr>
                    <w:adjustRightInd w:val="0"/>
                    <w:snapToGrid w:val="0"/>
                    <w:jc w:val="center"/>
                    <w:rPr>
                      <w:sz w:val="18"/>
                      <w:szCs w:val="18"/>
                    </w:rPr>
                  </w:pPr>
                  <w:r>
                    <w:rPr>
                      <w:rFonts w:hint="eastAsia"/>
                      <w:sz w:val="18"/>
                      <w:szCs w:val="18"/>
                    </w:rPr>
                    <w:t>10</w:t>
                  </w:r>
                </w:p>
              </w:tc>
              <w:tc>
                <w:tcPr>
                  <w:tcW w:w="465" w:type="pct"/>
                  <w:noWrap w:val="0"/>
                  <w:vAlign w:val="center"/>
                </w:tcPr>
                <w:p>
                  <w:pPr>
                    <w:adjustRightInd w:val="0"/>
                    <w:snapToGrid w:val="0"/>
                    <w:jc w:val="center"/>
                    <w:rPr>
                      <w:sz w:val="18"/>
                      <w:szCs w:val="18"/>
                    </w:rPr>
                  </w:pPr>
                  <w:r>
                    <w:rPr>
                      <w:rFonts w:hint="eastAsia"/>
                      <w:sz w:val="18"/>
                      <w:szCs w:val="18"/>
                    </w:rPr>
                    <w:t>/</w:t>
                  </w:r>
                </w:p>
              </w:tc>
              <w:tc>
                <w:tcPr>
                  <w:tcW w:w="465" w:type="pct"/>
                  <w:noWrap w:val="0"/>
                  <w:vAlign w:val="center"/>
                </w:tcPr>
                <w:p>
                  <w:pPr>
                    <w:adjustRightInd w:val="0"/>
                    <w:snapToGrid w:val="0"/>
                    <w:jc w:val="center"/>
                    <w:rPr>
                      <w:sz w:val="18"/>
                      <w:szCs w:val="18"/>
                    </w:rPr>
                  </w:pPr>
                  <w:r>
                    <w:rPr>
                      <w:rFonts w:hint="eastAsia"/>
                      <w:sz w:val="18"/>
                      <w:szCs w:val="18"/>
                    </w:rPr>
                    <w:t>/</w:t>
                  </w:r>
                </w:p>
              </w:tc>
              <w:tc>
                <w:tcPr>
                  <w:tcW w:w="465" w:type="pct"/>
                  <w:noWrap w:val="0"/>
                  <w:vAlign w:val="center"/>
                </w:tcPr>
                <w:p>
                  <w:pPr>
                    <w:adjustRightInd w:val="0"/>
                    <w:snapToGrid w:val="0"/>
                    <w:jc w:val="center"/>
                    <w:rPr>
                      <w:sz w:val="18"/>
                      <w:szCs w:val="18"/>
                    </w:rPr>
                  </w:pPr>
                  <w:r>
                    <w:rPr>
                      <w:rFonts w:hint="eastAsia"/>
                      <w:sz w:val="18"/>
                      <w:szCs w:val="18"/>
                    </w:rPr>
                    <w:t>30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80" w:hRule="atLeast"/>
                <w:jc w:val="center"/>
              </w:trPr>
              <w:tc>
                <w:tcPr>
                  <w:tcW w:w="350" w:type="pct"/>
                  <w:vMerge w:val="continue"/>
                  <w:noWrap w:val="0"/>
                  <w:vAlign w:val="center"/>
                </w:tcPr>
                <w:p>
                  <w:pPr>
                    <w:adjustRightInd w:val="0"/>
                    <w:snapToGrid w:val="0"/>
                    <w:jc w:val="center"/>
                    <w:rPr>
                      <w:sz w:val="18"/>
                      <w:szCs w:val="18"/>
                    </w:rPr>
                  </w:pPr>
                </w:p>
              </w:tc>
              <w:tc>
                <w:tcPr>
                  <w:tcW w:w="732" w:type="pct"/>
                  <w:noWrap w:val="0"/>
                  <w:vAlign w:val="center"/>
                </w:tcPr>
                <w:p>
                  <w:pPr>
                    <w:adjustRightInd w:val="0"/>
                    <w:snapToGrid w:val="0"/>
                    <w:jc w:val="center"/>
                    <w:rPr>
                      <w:sz w:val="18"/>
                      <w:szCs w:val="18"/>
                    </w:rPr>
                  </w:pPr>
                  <w:r>
                    <w:rPr>
                      <w:sz w:val="18"/>
                      <w:szCs w:val="18"/>
                    </w:rPr>
                    <w:t>出水浓度（mg/L）</w:t>
                  </w:r>
                </w:p>
              </w:tc>
              <w:tc>
                <w:tcPr>
                  <w:tcW w:w="615" w:type="pct"/>
                  <w:noWrap w:val="0"/>
                  <w:vAlign w:val="center"/>
                </w:tcPr>
                <w:p>
                  <w:pPr>
                    <w:adjustRightInd w:val="0"/>
                    <w:snapToGrid w:val="0"/>
                    <w:jc w:val="center"/>
                    <w:rPr>
                      <w:sz w:val="18"/>
                      <w:szCs w:val="18"/>
                    </w:rPr>
                  </w:pPr>
                  <w:r>
                    <w:rPr>
                      <w:rFonts w:hint="eastAsia"/>
                      <w:sz w:val="18"/>
                      <w:szCs w:val="18"/>
                    </w:rPr>
                    <w:t>79.5</w:t>
                  </w:r>
                </w:p>
              </w:tc>
              <w:tc>
                <w:tcPr>
                  <w:tcW w:w="480" w:type="pct"/>
                  <w:noWrap w:val="0"/>
                  <w:vAlign w:val="center"/>
                </w:tcPr>
                <w:p>
                  <w:pPr>
                    <w:adjustRightInd w:val="0"/>
                    <w:snapToGrid w:val="0"/>
                    <w:jc w:val="center"/>
                    <w:rPr>
                      <w:sz w:val="18"/>
                      <w:szCs w:val="18"/>
                    </w:rPr>
                  </w:pPr>
                  <w:r>
                    <w:rPr>
                      <w:rFonts w:hint="eastAsia"/>
                      <w:sz w:val="18"/>
                      <w:szCs w:val="18"/>
                    </w:rPr>
                    <w:t>12.35</w:t>
                  </w:r>
                </w:p>
              </w:tc>
              <w:tc>
                <w:tcPr>
                  <w:tcW w:w="480" w:type="pct"/>
                  <w:noWrap w:val="0"/>
                  <w:vAlign w:val="center"/>
                </w:tcPr>
                <w:p>
                  <w:pPr>
                    <w:adjustRightInd w:val="0"/>
                    <w:snapToGrid w:val="0"/>
                    <w:jc w:val="center"/>
                    <w:rPr>
                      <w:sz w:val="18"/>
                      <w:szCs w:val="18"/>
                    </w:rPr>
                  </w:pPr>
                  <w:r>
                    <w:rPr>
                      <w:rFonts w:hint="eastAsia"/>
                      <w:sz w:val="18"/>
                      <w:szCs w:val="18"/>
                    </w:rPr>
                    <w:t>24.92</w:t>
                  </w:r>
                </w:p>
              </w:tc>
              <w:tc>
                <w:tcPr>
                  <w:tcW w:w="480" w:type="pct"/>
                  <w:noWrap w:val="0"/>
                  <w:vAlign w:val="center"/>
                </w:tcPr>
                <w:p>
                  <w:pPr>
                    <w:adjustRightInd w:val="0"/>
                    <w:snapToGrid w:val="0"/>
                    <w:jc w:val="center"/>
                    <w:rPr>
                      <w:sz w:val="18"/>
                      <w:szCs w:val="18"/>
                    </w:rPr>
                  </w:pPr>
                  <w:r>
                    <w:rPr>
                      <w:rFonts w:hint="eastAsia"/>
                      <w:sz w:val="18"/>
                      <w:szCs w:val="18"/>
                    </w:rPr>
                    <w:t>0.4</w:t>
                  </w:r>
                </w:p>
              </w:tc>
              <w:tc>
                <w:tcPr>
                  <w:tcW w:w="465" w:type="pct"/>
                  <w:noWrap w:val="0"/>
                  <w:vAlign w:val="center"/>
                </w:tcPr>
                <w:p>
                  <w:pPr>
                    <w:adjustRightInd w:val="0"/>
                    <w:snapToGrid w:val="0"/>
                    <w:jc w:val="center"/>
                    <w:rPr>
                      <w:sz w:val="18"/>
                      <w:szCs w:val="18"/>
                    </w:rPr>
                  </w:pPr>
                  <w:r>
                    <w:rPr>
                      <w:rFonts w:hint="eastAsia"/>
                      <w:sz w:val="18"/>
                      <w:szCs w:val="18"/>
                    </w:rPr>
                    <w:t>1.26</w:t>
                  </w:r>
                </w:p>
              </w:tc>
              <w:tc>
                <w:tcPr>
                  <w:tcW w:w="465" w:type="pct"/>
                  <w:noWrap w:val="0"/>
                  <w:vAlign w:val="center"/>
                </w:tcPr>
                <w:p>
                  <w:pPr>
                    <w:adjustRightInd w:val="0"/>
                    <w:snapToGrid w:val="0"/>
                    <w:jc w:val="center"/>
                    <w:rPr>
                      <w:sz w:val="18"/>
                      <w:szCs w:val="18"/>
                    </w:rPr>
                  </w:pPr>
                  <w:r>
                    <w:rPr>
                      <w:rFonts w:hint="eastAsia"/>
                      <w:sz w:val="18"/>
                      <w:szCs w:val="18"/>
                    </w:rPr>
                    <w:t>14.74</w:t>
                  </w:r>
                </w:p>
              </w:tc>
              <w:tc>
                <w:tcPr>
                  <w:tcW w:w="465" w:type="pct"/>
                  <w:noWrap w:val="0"/>
                  <w:vAlign w:val="center"/>
                </w:tcPr>
                <w:p>
                  <w:pPr>
                    <w:adjustRightInd w:val="0"/>
                    <w:snapToGrid w:val="0"/>
                    <w:jc w:val="center"/>
                    <w:rPr>
                      <w:sz w:val="18"/>
                      <w:szCs w:val="18"/>
                    </w:rPr>
                  </w:pPr>
                  <w:r>
                    <w:rPr>
                      <w:rFonts w:hint="eastAsia"/>
                      <w:sz w:val="18"/>
                      <w:szCs w:val="18"/>
                    </w:rPr>
                    <w:t>1.77</w:t>
                  </w:r>
                </w:p>
              </w:tc>
              <w:tc>
                <w:tcPr>
                  <w:tcW w:w="465" w:type="pct"/>
                  <w:noWrap w:val="0"/>
                  <w:vAlign w:val="center"/>
                </w:tcPr>
                <w:p>
                  <w:pPr>
                    <w:adjustRightInd w:val="0"/>
                    <w:snapToGrid w:val="0"/>
                    <w:jc w:val="center"/>
                    <w:rPr>
                      <w:sz w:val="18"/>
                      <w:szCs w:val="18"/>
                    </w:rPr>
                  </w:pPr>
                  <w:r>
                    <w:rPr>
                      <w:rFonts w:hint="eastAsia"/>
                      <w:sz w:val="18"/>
                      <w:szCs w:val="18"/>
                    </w:rPr>
                    <w:t>35.28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470" w:hRule="atLeast"/>
                <w:jc w:val="center"/>
              </w:trPr>
              <w:tc>
                <w:tcPr>
                  <w:tcW w:w="1082" w:type="pct"/>
                  <w:gridSpan w:val="2"/>
                  <w:noWrap w:val="0"/>
                  <w:vAlign w:val="center"/>
                </w:tcPr>
                <w:p>
                  <w:pPr>
                    <w:adjustRightInd w:val="0"/>
                    <w:snapToGrid w:val="0"/>
                    <w:jc w:val="center"/>
                    <w:rPr>
                      <w:rFonts w:hint="eastAsia"/>
                      <w:sz w:val="18"/>
                      <w:szCs w:val="18"/>
                    </w:rPr>
                  </w:pPr>
                  <w:r>
                    <w:rPr>
                      <w:rFonts w:hint="eastAsia" w:hAnsi="宋体"/>
                      <w:sz w:val="18"/>
                      <w:szCs w:val="18"/>
                    </w:rPr>
                    <w:t>接管要求</w:t>
                  </w:r>
                </w:p>
              </w:tc>
              <w:tc>
                <w:tcPr>
                  <w:tcW w:w="615" w:type="pct"/>
                  <w:noWrap w:val="0"/>
                  <w:vAlign w:val="center"/>
                </w:tcPr>
                <w:p>
                  <w:pPr>
                    <w:adjustRightInd w:val="0"/>
                    <w:snapToGrid w:val="0"/>
                    <w:jc w:val="center"/>
                    <w:rPr>
                      <w:sz w:val="18"/>
                      <w:szCs w:val="18"/>
                    </w:rPr>
                  </w:pPr>
                  <w:r>
                    <w:rPr>
                      <w:rFonts w:hint="eastAsia"/>
                      <w:sz w:val="18"/>
                      <w:szCs w:val="18"/>
                    </w:rPr>
                    <w:t>200</w:t>
                  </w:r>
                </w:p>
              </w:tc>
              <w:tc>
                <w:tcPr>
                  <w:tcW w:w="480" w:type="pct"/>
                  <w:noWrap w:val="0"/>
                  <w:vAlign w:val="center"/>
                </w:tcPr>
                <w:p>
                  <w:pPr>
                    <w:adjustRightInd w:val="0"/>
                    <w:snapToGrid w:val="0"/>
                    <w:jc w:val="center"/>
                    <w:rPr>
                      <w:sz w:val="18"/>
                      <w:szCs w:val="18"/>
                    </w:rPr>
                  </w:pPr>
                  <w:r>
                    <w:rPr>
                      <w:rFonts w:hint="eastAsia"/>
                      <w:sz w:val="18"/>
                      <w:szCs w:val="18"/>
                    </w:rPr>
                    <w:t>50</w:t>
                  </w:r>
                </w:p>
              </w:tc>
              <w:tc>
                <w:tcPr>
                  <w:tcW w:w="480" w:type="pct"/>
                  <w:noWrap w:val="0"/>
                  <w:vAlign w:val="center"/>
                </w:tcPr>
                <w:p>
                  <w:pPr>
                    <w:adjustRightInd w:val="0"/>
                    <w:snapToGrid w:val="0"/>
                    <w:jc w:val="center"/>
                    <w:rPr>
                      <w:sz w:val="18"/>
                      <w:szCs w:val="18"/>
                    </w:rPr>
                  </w:pPr>
                  <w:r>
                    <w:rPr>
                      <w:rFonts w:hint="eastAsia"/>
                      <w:sz w:val="18"/>
                      <w:szCs w:val="18"/>
                    </w:rPr>
                    <w:t>100</w:t>
                  </w:r>
                </w:p>
              </w:tc>
              <w:tc>
                <w:tcPr>
                  <w:tcW w:w="480" w:type="pct"/>
                  <w:noWrap w:val="0"/>
                  <w:vAlign w:val="center"/>
                </w:tcPr>
                <w:p>
                  <w:pPr>
                    <w:adjustRightInd w:val="0"/>
                    <w:snapToGrid w:val="0"/>
                    <w:jc w:val="center"/>
                    <w:rPr>
                      <w:sz w:val="18"/>
                      <w:szCs w:val="18"/>
                    </w:rPr>
                  </w:pPr>
                  <w:r>
                    <w:rPr>
                      <w:rFonts w:hint="eastAsia"/>
                      <w:sz w:val="18"/>
                      <w:szCs w:val="18"/>
                    </w:rPr>
                    <w:t>20</w:t>
                  </w:r>
                </w:p>
              </w:tc>
              <w:tc>
                <w:tcPr>
                  <w:tcW w:w="465" w:type="pct"/>
                  <w:noWrap w:val="0"/>
                  <w:vAlign w:val="center"/>
                </w:tcPr>
                <w:p>
                  <w:pPr>
                    <w:adjustRightInd w:val="0"/>
                    <w:snapToGrid w:val="0"/>
                    <w:jc w:val="center"/>
                    <w:rPr>
                      <w:sz w:val="18"/>
                      <w:szCs w:val="18"/>
                    </w:rPr>
                  </w:pPr>
                  <w:r>
                    <w:rPr>
                      <w:rFonts w:hint="eastAsia"/>
                      <w:sz w:val="18"/>
                      <w:szCs w:val="18"/>
                    </w:rPr>
                    <w:t>1.5</w:t>
                  </w:r>
                </w:p>
              </w:tc>
              <w:tc>
                <w:tcPr>
                  <w:tcW w:w="465" w:type="pct"/>
                  <w:noWrap w:val="0"/>
                  <w:vAlign w:val="center"/>
                </w:tcPr>
                <w:p>
                  <w:pPr>
                    <w:adjustRightInd w:val="0"/>
                    <w:snapToGrid w:val="0"/>
                    <w:jc w:val="center"/>
                    <w:rPr>
                      <w:sz w:val="18"/>
                      <w:szCs w:val="18"/>
                    </w:rPr>
                  </w:pPr>
                  <w:r>
                    <w:rPr>
                      <w:rFonts w:hint="eastAsia"/>
                      <w:sz w:val="18"/>
                      <w:szCs w:val="18"/>
                    </w:rPr>
                    <w:t>30</w:t>
                  </w:r>
                </w:p>
              </w:tc>
              <w:tc>
                <w:tcPr>
                  <w:tcW w:w="465" w:type="pct"/>
                  <w:noWrap w:val="0"/>
                  <w:vAlign w:val="center"/>
                </w:tcPr>
                <w:p>
                  <w:pPr>
                    <w:adjustRightInd w:val="0"/>
                    <w:snapToGrid w:val="0"/>
                    <w:jc w:val="center"/>
                    <w:rPr>
                      <w:sz w:val="18"/>
                      <w:szCs w:val="18"/>
                    </w:rPr>
                  </w:pPr>
                  <w:r>
                    <w:rPr>
                      <w:rFonts w:hint="eastAsia"/>
                      <w:sz w:val="18"/>
                      <w:szCs w:val="18"/>
                    </w:rPr>
                    <w:t>20</w:t>
                  </w:r>
                </w:p>
              </w:tc>
              <w:tc>
                <w:tcPr>
                  <w:tcW w:w="465" w:type="pct"/>
                  <w:noWrap w:val="0"/>
                  <w:vAlign w:val="center"/>
                </w:tcPr>
                <w:p>
                  <w:pPr>
                    <w:adjustRightInd w:val="0"/>
                    <w:snapToGrid w:val="0"/>
                    <w:jc w:val="center"/>
                    <w:rPr>
                      <w:sz w:val="18"/>
                      <w:szCs w:val="18"/>
                    </w:rPr>
                  </w:pPr>
                  <w:r>
                    <w:rPr>
                      <w:rFonts w:hint="eastAsia"/>
                      <w:sz w:val="18"/>
                      <w:szCs w:val="18"/>
                    </w:rPr>
                    <w:t>80</w:t>
                  </w:r>
                </w:p>
              </w:tc>
            </w:tr>
          </w:tbl>
          <w:p>
            <w:pPr>
              <w:adjustRightInd w:val="0"/>
              <w:snapToGrid w:val="0"/>
              <w:spacing w:line="500" w:lineRule="exact"/>
              <w:ind w:firstLine="420" w:firstLineChars="200"/>
              <w:rPr>
                <w:rFonts w:hint="eastAsia"/>
                <w:b/>
                <w:bCs/>
                <w:kern w:val="0"/>
                <w:szCs w:val="21"/>
              </w:rPr>
            </w:pPr>
            <w:r>
              <w:rPr>
                <w:rFonts w:hint="eastAsia"/>
                <w:kern w:val="0"/>
                <w:szCs w:val="21"/>
              </w:rPr>
              <w:t>污水处理站依托可行性分析：厂区污水处理站设计处理能力为</w:t>
            </w:r>
            <w:r>
              <w:rPr>
                <w:rFonts w:hint="eastAsia"/>
                <w:kern w:val="0"/>
                <w:szCs w:val="21"/>
                <w:lang w:val="en-US" w:eastAsia="zh-CN"/>
              </w:rPr>
              <w:t>30</w:t>
            </w:r>
            <w:r>
              <w:rPr>
                <w:rFonts w:hint="eastAsia"/>
                <w:kern w:val="0"/>
                <w:szCs w:val="21"/>
              </w:rPr>
              <w:t>t/</w:t>
            </w:r>
            <w:r>
              <w:rPr>
                <w:rFonts w:hint="eastAsia"/>
                <w:kern w:val="0"/>
                <w:szCs w:val="21"/>
                <w:lang w:val="en-US" w:eastAsia="zh-CN"/>
              </w:rPr>
              <w:t>d</w:t>
            </w:r>
            <w:r>
              <w:rPr>
                <w:rFonts w:hint="eastAsia"/>
                <w:kern w:val="0"/>
                <w:szCs w:val="21"/>
              </w:rPr>
              <w:t>，对照《排污许可证申请与核发技术规范 纺织印染工业》（HJ861-2017），本项目采用的污水处理措施技术为可行技术。</w:t>
            </w:r>
          </w:p>
          <w:p>
            <w:pPr>
              <w:spacing w:line="500" w:lineRule="exact"/>
              <w:ind w:firstLine="420" w:firstLineChars="200"/>
            </w:pPr>
            <w:r>
              <w:t>（2）废水类别、污染物及污染治理设施信息</w:t>
            </w:r>
          </w:p>
          <w:p>
            <w:pPr>
              <w:pStyle w:val="2"/>
              <w:spacing w:after="0" w:line="500" w:lineRule="exact"/>
              <w:jc w:val="center"/>
              <w:rPr>
                <w:rFonts w:ascii="Times New Roman" w:hAnsi="Times New Roman"/>
                <w:b/>
                <w:bCs/>
                <w:sz w:val="21"/>
                <w:szCs w:val="21"/>
              </w:rPr>
            </w:pPr>
            <w:r>
              <w:rPr>
                <w:rFonts w:ascii="Times New Roman" w:hAnsi="Times New Roman"/>
                <w:b/>
                <w:bCs/>
                <w:sz w:val="21"/>
                <w:szCs w:val="21"/>
              </w:rPr>
              <w:t>表4</w:t>
            </w:r>
            <w:r>
              <w:rPr>
                <w:rFonts w:hint="eastAsia" w:ascii="Times New Roman" w:hAnsi="Times New Roman"/>
                <w:b/>
                <w:bCs/>
                <w:sz w:val="21"/>
                <w:szCs w:val="21"/>
              </w:rPr>
              <w:t>-7</w:t>
            </w:r>
            <w:r>
              <w:rPr>
                <w:rFonts w:ascii="Times New Roman" w:hAnsi="Times New Roman"/>
                <w:b/>
                <w:bCs/>
                <w:sz w:val="21"/>
                <w:szCs w:val="21"/>
              </w:rPr>
              <w:t xml:space="preserve"> 废水类别及污染治理设施信息表</w:t>
            </w:r>
          </w:p>
          <w:tbl>
            <w:tblPr>
              <w:tblStyle w:val="11"/>
              <w:tblW w:w="806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91"/>
              <w:gridCol w:w="832"/>
              <w:gridCol w:w="695"/>
              <w:gridCol w:w="518"/>
              <w:gridCol w:w="927"/>
              <w:gridCol w:w="887"/>
              <w:gridCol w:w="777"/>
              <w:gridCol w:w="600"/>
              <w:gridCol w:w="818"/>
              <w:gridCol w:w="11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90" w:type="dxa"/>
                  <w:vMerge w:val="restart"/>
                  <w:noWrap w:val="0"/>
                  <w:vAlign w:val="center"/>
                </w:tcPr>
                <w:p>
                  <w:pPr>
                    <w:rPr>
                      <w:sz w:val="18"/>
                      <w:szCs w:val="18"/>
                    </w:rPr>
                  </w:pPr>
                  <w:r>
                    <w:rPr>
                      <w:sz w:val="18"/>
                      <w:szCs w:val="18"/>
                    </w:rPr>
                    <w:t>序号</w:t>
                  </w:r>
                </w:p>
              </w:tc>
              <w:tc>
                <w:tcPr>
                  <w:tcW w:w="491" w:type="dxa"/>
                  <w:vMerge w:val="restart"/>
                  <w:noWrap w:val="0"/>
                  <w:vAlign w:val="center"/>
                </w:tcPr>
                <w:p>
                  <w:pPr>
                    <w:jc w:val="center"/>
                    <w:rPr>
                      <w:sz w:val="18"/>
                      <w:szCs w:val="18"/>
                    </w:rPr>
                  </w:pPr>
                  <w:r>
                    <w:rPr>
                      <w:sz w:val="18"/>
                      <w:szCs w:val="18"/>
                    </w:rPr>
                    <w:t>废水类别</w:t>
                  </w:r>
                </w:p>
              </w:tc>
              <w:tc>
                <w:tcPr>
                  <w:tcW w:w="832" w:type="dxa"/>
                  <w:vMerge w:val="restart"/>
                  <w:noWrap w:val="0"/>
                  <w:vAlign w:val="center"/>
                </w:tcPr>
                <w:p>
                  <w:pPr>
                    <w:jc w:val="center"/>
                    <w:rPr>
                      <w:sz w:val="18"/>
                      <w:szCs w:val="18"/>
                    </w:rPr>
                  </w:pPr>
                  <w:r>
                    <w:rPr>
                      <w:sz w:val="18"/>
                      <w:szCs w:val="18"/>
                    </w:rPr>
                    <w:t>污染物种类</w:t>
                  </w:r>
                </w:p>
              </w:tc>
              <w:tc>
                <w:tcPr>
                  <w:tcW w:w="695" w:type="dxa"/>
                  <w:vMerge w:val="restart"/>
                  <w:noWrap w:val="0"/>
                  <w:vAlign w:val="center"/>
                </w:tcPr>
                <w:p>
                  <w:pPr>
                    <w:jc w:val="center"/>
                    <w:rPr>
                      <w:sz w:val="18"/>
                      <w:szCs w:val="18"/>
                    </w:rPr>
                  </w:pPr>
                  <w:r>
                    <w:rPr>
                      <w:sz w:val="18"/>
                      <w:szCs w:val="18"/>
                    </w:rPr>
                    <w:t>排放去向</w:t>
                  </w:r>
                </w:p>
              </w:tc>
              <w:tc>
                <w:tcPr>
                  <w:tcW w:w="518" w:type="dxa"/>
                  <w:vMerge w:val="restart"/>
                  <w:noWrap w:val="0"/>
                  <w:vAlign w:val="center"/>
                </w:tcPr>
                <w:p>
                  <w:pPr>
                    <w:jc w:val="center"/>
                    <w:rPr>
                      <w:sz w:val="18"/>
                      <w:szCs w:val="18"/>
                    </w:rPr>
                  </w:pPr>
                  <w:r>
                    <w:rPr>
                      <w:sz w:val="18"/>
                      <w:szCs w:val="18"/>
                    </w:rPr>
                    <w:t>排放规律</w:t>
                  </w:r>
                </w:p>
              </w:tc>
              <w:tc>
                <w:tcPr>
                  <w:tcW w:w="2591" w:type="dxa"/>
                  <w:gridSpan w:val="3"/>
                  <w:noWrap w:val="0"/>
                  <w:vAlign w:val="center"/>
                </w:tcPr>
                <w:p>
                  <w:pPr>
                    <w:jc w:val="center"/>
                    <w:rPr>
                      <w:sz w:val="18"/>
                      <w:szCs w:val="18"/>
                    </w:rPr>
                  </w:pPr>
                  <w:r>
                    <w:rPr>
                      <w:sz w:val="18"/>
                      <w:szCs w:val="18"/>
                    </w:rPr>
                    <w:t>污染治理设施</w:t>
                  </w:r>
                </w:p>
              </w:tc>
              <w:tc>
                <w:tcPr>
                  <w:tcW w:w="600" w:type="dxa"/>
                  <w:vMerge w:val="restart"/>
                  <w:noWrap w:val="0"/>
                  <w:vAlign w:val="center"/>
                </w:tcPr>
                <w:p>
                  <w:pPr>
                    <w:jc w:val="center"/>
                    <w:rPr>
                      <w:sz w:val="18"/>
                      <w:szCs w:val="18"/>
                    </w:rPr>
                  </w:pPr>
                  <w:r>
                    <w:rPr>
                      <w:sz w:val="18"/>
                      <w:szCs w:val="18"/>
                    </w:rPr>
                    <w:t>排放口编号</w:t>
                  </w:r>
                </w:p>
              </w:tc>
              <w:tc>
                <w:tcPr>
                  <w:tcW w:w="818" w:type="dxa"/>
                  <w:vMerge w:val="restart"/>
                  <w:noWrap w:val="0"/>
                  <w:vAlign w:val="center"/>
                </w:tcPr>
                <w:p>
                  <w:pPr>
                    <w:jc w:val="center"/>
                    <w:rPr>
                      <w:sz w:val="18"/>
                      <w:szCs w:val="18"/>
                    </w:rPr>
                  </w:pPr>
                  <w:r>
                    <w:rPr>
                      <w:sz w:val="18"/>
                      <w:szCs w:val="18"/>
                    </w:rPr>
                    <w:t>排放设置是否符合要求</w:t>
                  </w:r>
                </w:p>
              </w:tc>
              <w:tc>
                <w:tcPr>
                  <w:tcW w:w="1132" w:type="dxa"/>
                  <w:vMerge w:val="restart"/>
                  <w:noWrap w:val="0"/>
                  <w:vAlign w:val="center"/>
                </w:tcPr>
                <w:p>
                  <w:pPr>
                    <w:jc w:val="center"/>
                    <w:rPr>
                      <w:sz w:val="18"/>
                      <w:szCs w:val="18"/>
                    </w:rPr>
                  </w:pPr>
                  <w:r>
                    <w:rPr>
                      <w:sz w:val="18"/>
                      <w:szCs w:val="18"/>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90" w:type="dxa"/>
                  <w:vMerge w:val="continue"/>
                  <w:noWrap w:val="0"/>
                  <w:vAlign w:val="center"/>
                </w:tcPr>
                <w:p>
                  <w:pPr>
                    <w:jc w:val="center"/>
                    <w:rPr>
                      <w:sz w:val="18"/>
                      <w:szCs w:val="18"/>
                    </w:rPr>
                  </w:pPr>
                </w:p>
              </w:tc>
              <w:tc>
                <w:tcPr>
                  <w:tcW w:w="491" w:type="dxa"/>
                  <w:vMerge w:val="continue"/>
                  <w:noWrap w:val="0"/>
                  <w:vAlign w:val="center"/>
                </w:tcPr>
                <w:p>
                  <w:pPr>
                    <w:jc w:val="center"/>
                    <w:rPr>
                      <w:sz w:val="18"/>
                      <w:szCs w:val="18"/>
                    </w:rPr>
                  </w:pPr>
                </w:p>
              </w:tc>
              <w:tc>
                <w:tcPr>
                  <w:tcW w:w="832" w:type="dxa"/>
                  <w:vMerge w:val="continue"/>
                  <w:noWrap w:val="0"/>
                  <w:vAlign w:val="center"/>
                </w:tcPr>
                <w:p>
                  <w:pPr>
                    <w:jc w:val="center"/>
                    <w:rPr>
                      <w:sz w:val="18"/>
                      <w:szCs w:val="18"/>
                    </w:rPr>
                  </w:pPr>
                </w:p>
              </w:tc>
              <w:tc>
                <w:tcPr>
                  <w:tcW w:w="695" w:type="dxa"/>
                  <w:vMerge w:val="continue"/>
                  <w:noWrap w:val="0"/>
                  <w:vAlign w:val="center"/>
                </w:tcPr>
                <w:p>
                  <w:pPr>
                    <w:jc w:val="center"/>
                    <w:rPr>
                      <w:sz w:val="18"/>
                      <w:szCs w:val="18"/>
                    </w:rPr>
                  </w:pPr>
                </w:p>
              </w:tc>
              <w:tc>
                <w:tcPr>
                  <w:tcW w:w="518" w:type="dxa"/>
                  <w:vMerge w:val="continue"/>
                  <w:noWrap w:val="0"/>
                  <w:vAlign w:val="center"/>
                </w:tcPr>
                <w:p>
                  <w:pPr>
                    <w:jc w:val="center"/>
                    <w:rPr>
                      <w:sz w:val="18"/>
                      <w:szCs w:val="18"/>
                    </w:rPr>
                  </w:pPr>
                </w:p>
              </w:tc>
              <w:tc>
                <w:tcPr>
                  <w:tcW w:w="927" w:type="dxa"/>
                  <w:noWrap w:val="0"/>
                  <w:vAlign w:val="center"/>
                </w:tcPr>
                <w:p>
                  <w:pPr>
                    <w:jc w:val="center"/>
                    <w:rPr>
                      <w:sz w:val="18"/>
                      <w:szCs w:val="18"/>
                    </w:rPr>
                  </w:pPr>
                  <w:r>
                    <w:rPr>
                      <w:sz w:val="18"/>
                      <w:szCs w:val="18"/>
                    </w:rPr>
                    <w:t>污染治理设施编号</w:t>
                  </w:r>
                </w:p>
              </w:tc>
              <w:tc>
                <w:tcPr>
                  <w:tcW w:w="887" w:type="dxa"/>
                  <w:noWrap w:val="0"/>
                  <w:vAlign w:val="center"/>
                </w:tcPr>
                <w:p>
                  <w:pPr>
                    <w:jc w:val="center"/>
                    <w:rPr>
                      <w:sz w:val="18"/>
                      <w:szCs w:val="18"/>
                    </w:rPr>
                  </w:pPr>
                  <w:r>
                    <w:rPr>
                      <w:sz w:val="18"/>
                      <w:szCs w:val="18"/>
                    </w:rPr>
                    <w:t>污染治理设施名称</w:t>
                  </w:r>
                </w:p>
              </w:tc>
              <w:tc>
                <w:tcPr>
                  <w:tcW w:w="777" w:type="dxa"/>
                  <w:noWrap w:val="0"/>
                  <w:vAlign w:val="center"/>
                </w:tcPr>
                <w:p>
                  <w:pPr>
                    <w:jc w:val="center"/>
                    <w:rPr>
                      <w:sz w:val="18"/>
                      <w:szCs w:val="18"/>
                    </w:rPr>
                  </w:pPr>
                  <w:r>
                    <w:rPr>
                      <w:sz w:val="18"/>
                      <w:szCs w:val="18"/>
                    </w:rPr>
                    <w:t>污染治理设施工艺</w:t>
                  </w:r>
                </w:p>
              </w:tc>
              <w:tc>
                <w:tcPr>
                  <w:tcW w:w="600" w:type="dxa"/>
                  <w:vMerge w:val="continue"/>
                  <w:noWrap w:val="0"/>
                  <w:vAlign w:val="center"/>
                </w:tcPr>
                <w:p>
                  <w:pPr>
                    <w:jc w:val="center"/>
                    <w:rPr>
                      <w:sz w:val="18"/>
                      <w:szCs w:val="18"/>
                    </w:rPr>
                  </w:pPr>
                </w:p>
              </w:tc>
              <w:tc>
                <w:tcPr>
                  <w:tcW w:w="818" w:type="dxa"/>
                  <w:vMerge w:val="continue"/>
                  <w:noWrap w:val="0"/>
                  <w:vAlign w:val="center"/>
                </w:tcPr>
                <w:p>
                  <w:pPr>
                    <w:jc w:val="center"/>
                    <w:rPr>
                      <w:sz w:val="18"/>
                      <w:szCs w:val="18"/>
                    </w:rPr>
                  </w:pPr>
                </w:p>
              </w:tc>
              <w:tc>
                <w:tcPr>
                  <w:tcW w:w="1132" w:type="dxa"/>
                  <w:vMerge w:val="continue"/>
                  <w:noWrap w:val="0"/>
                  <w:vAlign w:val="center"/>
                </w:tcPr>
                <w:p>
                  <w:pPr>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90" w:type="dxa"/>
                  <w:noWrap w:val="0"/>
                  <w:vAlign w:val="center"/>
                </w:tcPr>
                <w:p>
                  <w:pPr>
                    <w:jc w:val="center"/>
                    <w:rPr>
                      <w:sz w:val="18"/>
                      <w:szCs w:val="18"/>
                    </w:rPr>
                  </w:pPr>
                  <w:r>
                    <w:rPr>
                      <w:sz w:val="18"/>
                      <w:szCs w:val="18"/>
                    </w:rPr>
                    <w:t>1</w:t>
                  </w:r>
                </w:p>
              </w:tc>
              <w:tc>
                <w:tcPr>
                  <w:tcW w:w="491" w:type="dxa"/>
                  <w:noWrap w:val="0"/>
                  <w:vAlign w:val="center"/>
                </w:tcPr>
                <w:p>
                  <w:pPr>
                    <w:jc w:val="center"/>
                    <w:rPr>
                      <w:sz w:val="18"/>
                      <w:szCs w:val="18"/>
                    </w:rPr>
                  </w:pPr>
                  <w:r>
                    <w:rPr>
                      <w:rFonts w:hint="eastAsia"/>
                      <w:sz w:val="18"/>
                      <w:szCs w:val="18"/>
                    </w:rPr>
                    <w:t>水洗废水</w:t>
                  </w:r>
                </w:p>
              </w:tc>
              <w:tc>
                <w:tcPr>
                  <w:tcW w:w="832" w:type="dxa"/>
                  <w:noWrap w:val="0"/>
                  <w:vAlign w:val="center"/>
                </w:tcPr>
                <w:p>
                  <w:pPr>
                    <w:jc w:val="center"/>
                    <w:rPr>
                      <w:sz w:val="18"/>
                      <w:szCs w:val="18"/>
                    </w:rPr>
                  </w:pPr>
                  <w:r>
                    <w:rPr>
                      <w:sz w:val="18"/>
                      <w:szCs w:val="18"/>
                    </w:rPr>
                    <w:t>COD、</w:t>
                  </w:r>
                  <w:r>
                    <w:rPr>
                      <w:rFonts w:hint="eastAsia"/>
                      <w:sz w:val="18"/>
                      <w:szCs w:val="18"/>
                    </w:rPr>
                    <w:t>BOD</w:t>
                  </w:r>
                  <w:r>
                    <w:rPr>
                      <w:rFonts w:hint="eastAsia"/>
                      <w:sz w:val="18"/>
                      <w:szCs w:val="18"/>
                      <w:vertAlign w:val="subscript"/>
                    </w:rPr>
                    <w:t>5</w:t>
                  </w:r>
                  <w:r>
                    <w:rPr>
                      <w:rFonts w:hint="eastAsia"/>
                      <w:sz w:val="18"/>
                      <w:szCs w:val="18"/>
                    </w:rPr>
                    <w:t>、</w:t>
                  </w:r>
                  <w:r>
                    <w:rPr>
                      <w:sz w:val="18"/>
                      <w:szCs w:val="18"/>
                    </w:rPr>
                    <w:t>SS、TP、TN、NH</w:t>
                  </w:r>
                  <w:r>
                    <w:rPr>
                      <w:sz w:val="18"/>
                      <w:szCs w:val="18"/>
                      <w:vertAlign w:val="subscript"/>
                    </w:rPr>
                    <w:t>3</w:t>
                  </w:r>
                  <w:r>
                    <w:rPr>
                      <w:sz w:val="18"/>
                      <w:szCs w:val="18"/>
                    </w:rPr>
                    <w:t>-N</w:t>
                  </w:r>
                  <w:r>
                    <w:rPr>
                      <w:rFonts w:hint="eastAsia"/>
                      <w:sz w:val="18"/>
                      <w:szCs w:val="18"/>
                    </w:rPr>
                    <w:t>、LAS、色度</w:t>
                  </w:r>
                </w:p>
              </w:tc>
              <w:tc>
                <w:tcPr>
                  <w:tcW w:w="695" w:type="dxa"/>
                  <w:noWrap w:val="0"/>
                  <w:vAlign w:val="center"/>
                </w:tcPr>
                <w:p>
                  <w:pPr>
                    <w:jc w:val="center"/>
                    <w:rPr>
                      <w:rFonts w:hint="eastAsia" w:eastAsia="宋体"/>
                      <w:sz w:val="18"/>
                      <w:szCs w:val="18"/>
                      <w:lang w:eastAsia="zh-CN"/>
                    </w:rPr>
                  </w:pPr>
                  <w:r>
                    <w:rPr>
                      <w:rFonts w:hint="eastAsia"/>
                      <w:sz w:val="18"/>
                      <w:szCs w:val="18"/>
                      <w:lang w:eastAsia="zh-CN"/>
                    </w:rPr>
                    <w:t>启东城市污水处理厂</w:t>
                  </w:r>
                </w:p>
              </w:tc>
              <w:tc>
                <w:tcPr>
                  <w:tcW w:w="518" w:type="dxa"/>
                  <w:noWrap w:val="0"/>
                  <w:vAlign w:val="center"/>
                </w:tcPr>
                <w:p>
                  <w:pPr>
                    <w:jc w:val="center"/>
                    <w:rPr>
                      <w:sz w:val="18"/>
                      <w:szCs w:val="18"/>
                    </w:rPr>
                  </w:pPr>
                  <w:r>
                    <w:rPr>
                      <w:sz w:val="18"/>
                      <w:szCs w:val="18"/>
                    </w:rPr>
                    <w:t>间歇排放</w:t>
                  </w:r>
                </w:p>
              </w:tc>
              <w:tc>
                <w:tcPr>
                  <w:tcW w:w="927" w:type="dxa"/>
                  <w:noWrap w:val="0"/>
                  <w:vAlign w:val="center"/>
                </w:tcPr>
                <w:p>
                  <w:pPr>
                    <w:jc w:val="center"/>
                    <w:rPr>
                      <w:sz w:val="18"/>
                      <w:szCs w:val="18"/>
                    </w:rPr>
                  </w:pPr>
                  <w:r>
                    <w:rPr>
                      <w:sz w:val="18"/>
                      <w:szCs w:val="18"/>
                    </w:rPr>
                    <w:t>TW001</w:t>
                  </w:r>
                </w:p>
              </w:tc>
              <w:tc>
                <w:tcPr>
                  <w:tcW w:w="887" w:type="dxa"/>
                  <w:noWrap w:val="0"/>
                  <w:vAlign w:val="center"/>
                </w:tcPr>
                <w:p>
                  <w:pPr>
                    <w:jc w:val="center"/>
                    <w:rPr>
                      <w:rFonts w:hint="eastAsia" w:eastAsia="宋体"/>
                      <w:sz w:val="18"/>
                      <w:szCs w:val="18"/>
                      <w:lang w:eastAsia="zh-CN"/>
                    </w:rPr>
                  </w:pPr>
                  <w:r>
                    <w:rPr>
                      <w:rFonts w:hint="eastAsia"/>
                      <w:sz w:val="18"/>
                      <w:szCs w:val="18"/>
                      <w:lang w:eastAsia="zh-CN"/>
                    </w:rPr>
                    <w:t>污水处理设施</w:t>
                  </w:r>
                </w:p>
              </w:tc>
              <w:tc>
                <w:tcPr>
                  <w:tcW w:w="777" w:type="dxa"/>
                  <w:noWrap w:val="0"/>
                  <w:vAlign w:val="center"/>
                </w:tcPr>
                <w:p>
                  <w:pPr>
                    <w:jc w:val="center"/>
                    <w:rPr>
                      <w:rFonts w:hint="default" w:eastAsia="宋体"/>
                      <w:sz w:val="18"/>
                      <w:szCs w:val="18"/>
                      <w:lang w:val="en-US" w:eastAsia="zh-CN"/>
                    </w:rPr>
                  </w:pPr>
                  <w:r>
                    <w:rPr>
                      <w:rFonts w:hint="eastAsia"/>
                      <w:sz w:val="18"/>
                      <w:szCs w:val="18"/>
                      <w:lang w:eastAsia="zh-CN"/>
                    </w:rPr>
                    <w:t>混凝沉淀</w:t>
                  </w:r>
                  <w:r>
                    <w:rPr>
                      <w:rFonts w:hint="eastAsia"/>
                      <w:sz w:val="18"/>
                      <w:szCs w:val="18"/>
                      <w:lang w:val="en-US" w:eastAsia="zh-CN"/>
                    </w:rPr>
                    <w:t>-水解酸化-接触氧化</w:t>
                  </w:r>
                </w:p>
              </w:tc>
              <w:tc>
                <w:tcPr>
                  <w:tcW w:w="600" w:type="dxa"/>
                  <w:noWrap w:val="0"/>
                  <w:vAlign w:val="center"/>
                </w:tcPr>
                <w:p>
                  <w:pPr>
                    <w:jc w:val="center"/>
                    <w:rPr>
                      <w:sz w:val="18"/>
                      <w:szCs w:val="18"/>
                    </w:rPr>
                  </w:pPr>
                  <w:r>
                    <w:rPr>
                      <w:sz w:val="18"/>
                      <w:szCs w:val="18"/>
                    </w:rPr>
                    <w:t>DW001</w:t>
                  </w:r>
                </w:p>
              </w:tc>
              <w:tc>
                <w:tcPr>
                  <w:tcW w:w="818" w:type="dxa"/>
                  <w:noWrap w:val="0"/>
                  <w:vAlign w:val="center"/>
                </w:tcPr>
                <w:p>
                  <w:pPr>
                    <w:jc w:val="center"/>
                    <w:rPr>
                      <w:sz w:val="18"/>
                      <w:szCs w:val="18"/>
                    </w:rPr>
                  </w:pPr>
                  <w:r>
                    <w:rPr>
                      <w:sz w:val="18"/>
                      <w:szCs w:val="18"/>
                    </w:rPr>
                    <w:sym w:font="Wingdings 2" w:char="0052"/>
                  </w:r>
                  <w:r>
                    <w:rPr>
                      <w:sz w:val="18"/>
                      <w:szCs w:val="18"/>
                    </w:rPr>
                    <w:t>是</w:t>
                  </w:r>
                </w:p>
                <w:p>
                  <w:pPr>
                    <w:jc w:val="center"/>
                    <w:rPr>
                      <w:sz w:val="18"/>
                      <w:szCs w:val="18"/>
                    </w:rPr>
                  </w:pPr>
                  <w:r>
                    <w:rPr>
                      <w:sz w:val="18"/>
                      <w:szCs w:val="18"/>
                    </w:rPr>
                    <w:sym w:font="Wingdings 2" w:char="00A3"/>
                  </w:r>
                  <w:r>
                    <w:rPr>
                      <w:sz w:val="18"/>
                      <w:szCs w:val="18"/>
                    </w:rPr>
                    <w:t>否</w:t>
                  </w:r>
                </w:p>
              </w:tc>
              <w:tc>
                <w:tcPr>
                  <w:tcW w:w="1132" w:type="dxa"/>
                  <w:noWrap w:val="0"/>
                  <w:vAlign w:val="center"/>
                </w:tcPr>
                <w:p>
                  <w:pPr>
                    <w:jc w:val="center"/>
                    <w:rPr>
                      <w:sz w:val="18"/>
                      <w:szCs w:val="18"/>
                    </w:rPr>
                  </w:pPr>
                  <w:r>
                    <w:rPr>
                      <w:sz w:val="18"/>
                      <w:szCs w:val="18"/>
                    </w:rPr>
                    <w:sym w:font="Wingdings 2" w:char="0052"/>
                  </w:r>
                  <w:r>
                    <w:rPr>
                      <w:sz w:val="18"/>
                      <w:szCs w:val="18"/>
                    </w:rPr>
                    <w:t>企业总排放</w:t>
                  </w:r>
                </w:p>
                <w:p>
                  <w:pPr>
                    <w:jc w:val="center"/>
                    <w:rPr>
                      <w:sz w:val="18"/>
                      <w:szCs w:val="18"/>
                    </w:rPr>
                  </w:pPr>
                  <w:r>
                    <w:rPr>
                      <w:sz w:val="18"/>
                      <w:szCs w:val="18"/>
                    </w:rPr>
                    <w:sym w:font="Wingdings 2" w:char="00A3"/>
                  </w:r>
                  <w:r>
                    <w:rPr>
                      <w:sz w:val="18"/>
                      <w:szCs w:val="18"/>
                    </w:rPr>
                    <w:t>雨水排放</w:t>
                  </w:r>
                </w:p>
                <w:p>
                  <w:pPr>
                    <w:jc w:val="center"/>
                    <w:rPr>
                      <w:sz w:val="18"/>
                      <w:szCs w:val="18"/>
                    </w:rPr>
                  </w:pPr>
                  <w:r>
                    <w:rPr>
                      <w:sz w:val="18"/>
                      <w:szCs w:val="18"/>
                    </w:rPr>
                    <w:sym w:font="Wingdings 2" w:char="00A3"/>
                  </w:r>
                  <w:r>
                    <w:rPr>
                      <w:sz w:val="18"/>
                      <w:szCs w:val="18"/>
                    </w:rPr>
                    <w:t>清净下水排放</w:t>
                  </w:r>
                </w:p>
                <w:p>
                  <w:pPr>
                    <w:jc w:val="center"/>
                    <w:rPr>
                      <w:sz w:val="18"/>
                      <w:szCs w:val="18"/>
                    </w:rPr>
                  </w:pPr>
                  <w:r>
                    <w:rPr>
                      <w:sz w:val="18"/>
                      <w:szCs w:val="18"/>
                    </w:rPr>
                    <w:sym w:font="Wingdings 2" w:char="00A3"/>
                  </w:r>
                  <w:r>
                    <w:rPr>
                      <w:sz w:val="18"/>
                      <w:szCs w:val="18"/>
                    </w:rPr>
                    <w:t>温排水排放</w:t>
                  </w:r>
                </w:p>
                <w:p>
                  <w:pPr>
                    <w:jc w:val="center"/>
                    <w:rPr>
                      <w:sz w:val="18"/>
                      <w:szCs w:val="18"/>
                    </w:rPr>
                  </w:pPr>
                  <w:r>
                    <w:rPr>
                      <w:sz w:val="18"/>
                      <w:szCs w:val="18"/>
                    </w:rPr>
                    <w:sym w:font="Wingdings 2" w:char="00A3"/>
                  </w:r>
                  <w:r>
                    <w:rPr>
                      <w:sz w:val="18"/>
                      <w:szCs w:val="18"/>
                    </w:rPr>
                    <w:t>车间或车间处理设施排放</w:t>
                  </w:r>
                </w:p>
              </w:tc>
            </w:tr>
          </w:tbl>
          <w:p>
            <w:pPr>
              <w:pStyle w:val="2"/>
              <w:spacing w:after="0" w:line="500" w:lineRule="exact"/>
              <w:ind w:firstLine="420" w:firstLineChars="200"/>
              <w:rPr>
                <w:rFonts w:ascii="Times New Roman" w:hAnsi="Times New Roman"/>
                <w:sz w:val="21"/>
                <w:szCs w:val="21"/>
              </w:rPr>
            </w:pPr>
            <w:r>
              <w:rPr>
                <w:rFonts w:ascii="Times New Roman" w:hAnsi="Times New Roman"/>
                <w:sz w:val="21"/>
                <w:szCs w:val="21"/>
              </w:rPr>
              <w:t>废水间接排放口基本情况见表4-</w:t>
            </w:r>
            <w:r>
              <w:rPr>
                <w:rFonts w:hint="eastAsia" w:ascii="Times New Roman" w:hAnsi="Times New Roman"/>
                <w:sz w:val="21"/>
                <w:szCs w:val="21"/>
              </w:rPr>
              <w:t>8</w:t>
            </w:r>
          </w:p>
          <w:p>
            <w:pPr>
              <w:spacing w:line="360" w:lineRule="auto"/>
              <w:jc w:val="center"/>
              <w:rPr>
                <w:b/>
                <w:bCs/>
              </w:rPr>
            </w:pPr>
            <w:r>
              <w:rPr>
                <w:b/>
                <w:bCs/>
              </w:rPr>
              <w:t>表4-</w:t>
            </w:r>
            <w:r>
              <w:rPr>
                <w:rFonts w:hint="eastAsia"/>
                <w:b/>
                <w:bCs/>
              </w:rPr>
              <w:t xml:space="preserve">8 </w:t>
            </w:r>
            <w:r>
              <w:rPr>
                <w:b/>
                <w:bCs/>
              </w:rPr>
              <w:t>废水排放口信息一览表</w:t>
            </w:r>
          </w:p>
          <w:tbl>
            <w:tblPr>
              <w:tblStyle w:val="11"/>
              <w:tblW w:w="806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97"/>
              <w:gridCol w:w="672"/>
              <w:gridCol w:w="495"/>
              <w:gridCol w:w="630"/>
              <w:gridCol w:w="555"/>
              <w:gridCol w:w="630"/>
              <w:gridCol w:w="720"/>
              <w:gridCol w:w="705"/>
              <w:gridCol w:w="1020"/>
              <w:gridCol w:w="465"/>
              <w:gridCol w:w="375"/>
              <w:gridCol w:w="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55" w:type="dxa"/>
                  <w:vMerge w:val="restart"/>
                  <w:noWrap w:val="0"/>
                  <w:vAlign w:val="center"/>
                </w:tcPr>
                <w:p>
                  <w:pPr>
                    <w:jc w:val="center"/>
                    <w:rPr>
                      <w:sz w:val="18"/>
                      <w:szCs w:val="18"/>
                    </w:rPr>
                  </w:pPr>
                  <w:r>
                    <w:rPr>
                      <w:sz w:val="18"/>
                      <w:szCs w:val="18"/>
                    </w:rPr>
                    <w:t>排放口编号</w:t>
                  </w:r>
                </w:p>
              </w:tc>
              <w:tc>
                <w:tcPr>
                  <w:tcW w:w="597" w:type="dxa"/>
                  <w:vMerge w:val="restart"/>
                  <w:noWrap w:val="0"/>
                  <w:vAlign w:val="center"/>
                </w:tcPr>
                <w:p>
                  <w:pPr>
                    <w:jc w:val="center"/>
                    <w:rPr>
                      <w:sz w:val="18"/>
                      <w:szCs w:val="18"/>
                    </w:rPr>
                  </w:pPr>
                  <w:r>
                    <w:rPr>
                      <w:sz w:val="18"/>
                      <w:szCs w:val="18"/>
                    </w:rPr>
                    <w:t>排放口名称</w:t>
                  </w:r>
                </w:p>
              </w:tc>
              <w:tc>
                <w:tcPr>
                  <w:tcW w:w="672" w:type="dxa"/>
                  <w:vMerge w:val="restart"/>
                  <w:noWrap w:val="0"/>
                  <w:vAlign w:val="center"/>
                </w:tcPr>
                <w:p>
                  <w:pPr>
                    <w:jc w:val="center"/>
                    <w:rPr>
                      <w:sz w:val="18"/>
                      <w:szCs w:val="18"/>
                    </w:rPr>
                  </w:pPr>
                  <w:r>
                    <w:rPr>
                      <w:sz w:val="18"/>
                      <w:szCs w:val="18"/>
                    </w:rPr>
                    <w:t>污染物种类</w:t>
                  </w:r>
                </w:p>
              </w:tc>
              <w:tc>
                <w:tcPr>
                  <w:tcW w:w="495" w:type="dxa"/>
                  <w:vMerge w:val="restart"/>
                  <w:noWrap w:val="0"/>
                  <w:vAlign w:val="center"/>
                </w:tcPr>
                <w:p>
                  <w:pPr>
                    <w:jc w:val="center"/>
                    <w:rPr>
                      <w:sz w:val="18"/>
                      <w:szCs w:val="18"/>
                    </w:rPr>
                  </w:pPr>
                  <w:r>
                    <w:rPr>
                      <w:sz w:val="18"/>
                      <w:szCs w:val="18"/>
                    </w:rPr>
                    <w:t>废水排放量</w:t>
                  </w:r>
                </w:p>
              </w:tc>
              <w:tc>
                <w:tcPr>
                  <w:tcW w:w="1185" w:type="dxa"/>
                  <w:gridSpan w:val="2"/>
                  <w:noWrap w:val="0"/>
                  <w:vAlign w:val="center"/>
                </w:tcPr>
                <w:p>
                  <w:pPr>
                    <w:jc w:val="center"/>
                    <w:rPr>
                      <w:sz w:val="18"/>
                      <w:szCs w:val="18"/>
                    </w:rPr>
                  </w:pPr>
                  <w:r>
                    <w:rPr>
                      <w:sz w:val="18"/>
                      <w:szCs w:val="18"/>
                    </w:rPr>
                    <w:t>地理坐标</w:t>
                  </w:r>
                </w:p>
              </w:tc>
              <w:tc>
                <w:tcPr>
                  <w:tcW w:w="630" w:type="dxa"/>
                  <w:vMerge w:val="restart"/>
                  <w:noWrap w:val="0"/>
                  <w:vAlign w:val="center"/>
                </w:tcPr>
                <w:p>
                  <w:pPr>
                    <w:jc w:val="center"/>
                    <w:rPr>
                      <w:sz w:val="18"/>
                      <w:szCs w:val="18"/>
                    </w:rPr>
                  </w:pPr>
                  <w:r>
                    <w:rPr>
                      <w:sz w:val="18"/>
                      <w:szCs w:val="18"/>
                    </w:rPr>
                    <w:t>排放口类型</w:t>
                  </w:r>
                </w:p>
              </w:tc>
              <w:tc>
                <w:tcPr>
                  <w:tcW w:w="720" w:type="dxa"/>
                  <w:vMerge w:val="restart"/>
                  <w:noWrap w:val="0"/>
                  <w:vAlign w:val="center"/>
                </w:tcPr>
                <w:p>
                  <w:pPr>
                    <w:jc w:val="center"/>
                    <w:rPr>
                      <w:sz w:val="18"/>
                      <w:szCs w:val="18"/>
                    </w:rPr>
                  </w:pPr>
                  <w:r>
                    <w:rPr>
                      <w:sz w:val="18"/>
                      <w:szCs w:val="18"/>
                    </w:rPr>
                    <w:t>排放规律</w:t>
                  </w:r>
                </w:p>
              </w:tc>
              <w:tc>
                <w:tcPr>
                  <w:tcW w:w="1725" w:type="dxa"/>
                  <w:gridSpan w:val="2"/>
                  <w:noWrap w:val="0"/>
                  <w:vAlign w:val="center"/>
                </w:tcPr>
                <w:p>
                  <w:pPr>
                    <w:jc w:val="center"/>
                    <w:rPr>
                      <w:sz w:val="18"/>
                      <w:szCs w:val="18"/>
                    </w:rPr>
                  </w:pPr>
                  <w:r>
                    <w:rPr>
                      <w:sz w:val="18"/>
                      <w:szCs w:val="18"/>
                    </w:rPr>
                    <w:t>排放标准</w:t>
                  </w:r>
                </w:p>
              </w:tc>
              <w:tc>
                <w:tcPr>
                  <w:tcW w:w="465" w:type="dxa"/>
                  <w:vMerge w:val="restart"/>
                  <w:noWrap w:val="0"/>
                  <w:vAlign w:val="center"/>
                </w:tcPr>
                <w:p>
                  <w:pPr>
                    <w:jc w:val="center"/>
                    <w:rPr>
                      <w:sz w:val="18"/>
                      <w:szCs w:val="18"/>
                    </w:rPr>
                  </w:pPr>
                  <w:r>
                    <w:rPr>
                      <w:sz w:val="18"/>
                      <w:szCs w:val="18"/>
                    </w:rPr>
                    <w:t>排放方式</w:t>
                  </w:r>
                </w:p>
              </w:tc>
              <w:tc>
                <w:tcPr>
                  <w:tcW w:w="375" w:type="dxa"/>
                  <w:vMerge w:val="restart"/>
                  <w:noWrap w:val="0"/>
                  <w:vAlign w:val="center"/>
                </w:tcPr>
                <w:p>
                  <w:pPr>
                    <w:jc w:val="center"/>
                    <w:rPr>
                      <w:sz w:val="18"/>
                      <w:szCs w:val="18"/>
                    </w:rPr>
                  </w:pPr>
                  <w:r>
                    <w:rPr>
                      <w:sz w:val="18"/>
                      <w:szCs w:val="18"/>
                    </w:rPr>
                    <w:t>排放去向</w:t>
                  </w:r>
                </w:p>
              </w:tc>
              <w:tc>
                <w:tcPr>
                  <w:tcW w:w="648" w:type="dxa"/>
                  <w:vMerge w:val="restart"/>
                  <w:noWrap w:val="0"/>
                  <w:vAlign w:val="center"/>
                </w:tcPr>
                <w:p>
                  <w:pPr>
                    <w:jc w:val="center"/>
                    <w:rPr>
                      <w:sz w:val="18"/>
                      <w:szCs w:val="18"/>
                    </w:rPr>
                  </w:pPr>
                  <w:r>
                    <w:rPr>
                      <w:sz w:val="18"/>
                      <w:szCs w:val="18"/>
                    </w:rPr>
                    <w:t>污水受纳水体</w:t>
                  </w:r>
                  <w:r>
                    <w:rPr>
                      <w:rFonts w:hint="eastAsia"/>
                      <w:sz w:val="18"/>
                      <w:szCs w:val="18"/>
                    </w:rPr>
                    <w:t>/</w:t>
                  </w:r>
                  <w:r>
                    <w:rPr>
                      <w:sz w:val="18"/>
                      <w:szCs w:val="18"/>
                    </w:rPr>
                    <w:t>水体环境功能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55" w:type="dxa"/>
                  <w:vMerge w:val="continue"/>
                  <w:noWrap w:val="0"/>
                  <w:vAlign w:val="center"/>
                </w:tcPr>
                <w:p>
                  <w:pPr>
                    <w:jc w:val="center"/>
                    <w:rPr>
                      <w:sz w:val="18"/>
                      <w:szCs w:val="18"/>
                    </w:rPr>
                  </w:pPr>
                </w:p>
              </w:tc>
              <w:tc>
                <w:tcPr>
                  <w:tcW w:w="597" w:type="dxa"/>
                  <w:vMerge w:val="continue"/>
                  <w:noWrap w:val="0"/>
                  <w:vAlign w:val="center"/>
                </w:tcPr>
                <w:p>
                  <w:pPr>
                    <w:jc w:val="center"/>
                    <w:rPr>
                      <w:sz w:val="18"/>
                      <w:szCs w:val="18"/>
                    </w:rPr>
                  </w:pPr>
                </w:p>
              </w:tc>
              <w:tc>
                <w:tcPr>
                  <w:tcW w:w="672" w:type="dxa"/>
                  <w:vMerge w:val="continue"/>
                  <w:noWrap w:val="0"/>
                  <w:vAlign w:val="center"/>
                </w:tcPr>
                <w:p>
                  <w:pPr>
                    <w:jc w:val="center"/>
                    <w:rPr>
                      <w:sz w:val="18"/>
                      <w:szCs w:val="18"/>
                    </w:rPr>
                  </w:pPr>
                </w:p>
              </w:tc>
              <w:tc>
                <w:tcPr>
                  <w:tcW w:w="495" w:type="dxa"/>
                  <w:vMerge w:val="continue"/>
                  <w:noWrap w:val="0"/>
                  <w:vAlign w:val="center"/>
                </w:tcPr>
                <w:p>
                  <w:pPr>
                    <w:jc w:val="center"/>
                    <w:rPr>
                      <w:sz w:val="18"/>
                      <w:szCs w:val="18"/>
                    </w:rPr>
                  </w:pPr>
                </w:p>
              </w:tc>
              <w:tc>
                <w:tcPr>
                  <w:tcW w:w="630" w:type="dxa"/>
                  <w:noWrap w:val="0"/>
                  <w:vAlign w:val="center"/>
                </w:tcPr>
                <w:p>
                  <w:pPr>
                    <w:jc w:val="center"/>
                    <w:rPr>
                      <w:sz w:val="18"/>
                      <w:szCs w:val="18"/>
                    </w:rPr>
                  </w:pPr>
                  <w:r>
                    <w:rPr>
                      <w:sz w:val="18"/>
                      <w:szCs w:val="18"/>
                    </w:rPr>
                    <w:t>经度</w:t>
                  </w:r>
                </w:p>
              </w:tc>
              <w:tc>
                <w:tcPr>
                  <w:tcW w:w="555" w:type="dxa"/>
                  <w:noWrap w:val="0"/>
                  <w:vAlign w:val="center"/>
                </w:tcPr>
                <w:p>
                  <w:pPr>
                    <w:jc w:val="center"/>
                    <w:rPr>
                      <w:sz w:val="18"/>
                      <w:szCs w:val="18"/>
                    </w:rPr>
                  </w:pPr>
                  <w:r>
                    <w:rPr>
                      <w:sz w:val="18"/>
                      <w:szCs w:val="18"/>
                    </w:rPr>
                    <w:t>纬度</w:t>
                  </w:r>
                </w:p>
              </w:tc>
              <w:tc>
                <w:tcPr>
                  <w:tcW w:w="630" w:type="dxa"/>
                  <w:vMerge w:val="continue"/>
                  <w:noWrap w:val="0"/>
                  <w:vAlign w:val="center"/>
                </w:tcPr>
                <w:p>
                  <w:pPr>
                    <w:jc w:val="center"/>
                    <w:rPr>
                      <w:sz w:val="18"/>
                      <w:szCs w:val="18"/>
                    </w:rPr>
                  </w:pPr>
                </w:p>
              </w:tc>
              <w:tc>
                <w:tcPr>
                  <w:tcW w:w="720" w:type="dxa"/>
                  <w:vMerge w:val="continue"/>
                  <w:noWrap w:val="0"/>
                  <w:vAlign w:val="center"/>
                </w:tcPr>
                <w:p>
                  <w:pPr>
                    <w:jc w:val="center"/>
                    <w:rPr>
                      <w:sz w:val="18"/>
                      <w:szCs w:val="18"/>
                    </w:rPr>
                  </w:pPr>
                </w:p>
              </w:tc>
              <w:tc>
                <w:tcPr>
                  <w:tcW w:w="705" w:type="dxa"/>
                  <w:noWrap w:val="0"/>
                  <w:vAlign w:val="center"/>
                </w:tcPr>
                <w:p>
                  <w:pPr>
                    <w:jc w:val="center"/>
                    <w:rPr>
                      <w:sz w:val="18"/>
                      <w:szCs w:val="18"/>
                    </w:rPr>
                  </w:pPr>
                  <w:r>
                    <w:rPr>
                      <w:sz w:val="18"/>
                      <w:szCs w:val="18"/>
                    </w:rPr>
                    <w:t>浓度mg/L</w:t>
                  </w:r>
                </w:p>
              </w:tc>
              <w:tc>
                <w:tcPr>
                  <w:tcW w:w="1020" w:type="dxa"/>
                  <w:noWrap w:val="0"/>
                  <w:vAlign w:val="center"/>
                </w:tcPr>
                <w:p>
                  <w:pPr>
                    <w:jc w:val="center"/>
                    <w:rPr>
                      <w:sz w:val="18"/>
                      <w:szCs w:val="18"/>
                    </w:rPr>
                  </w:pPr>
                  <w:r>
                    <w:rPr>
                      <w:sz w:val="18"/>
                      <w:szCs w:val="18"/>
                    </w:rPr>
                    <w:t>名称</w:t>
                  </w:r>
                </w:p>
              </w:tc>
              <w:tc>
                <w:tcPr>
                  <w:tcW w:w="465" w:type="dxa"/>
                  <w:vMerge w:val="continue"/>
                  <w:noWrap w:val="0"/>
                  <w:vAlign w:val="center"/>
                </w:tcPr>
                <w:p>
                  <w:pPr>
                    <w:jc w:val="center"/>
                    <w:rPr>
                      <w:sz w:val="18"/>
                      <w:szCs w:val="18"/>
                    </w:rPr>
                  </w:pPr>
                </w:p>
              </w:tc>
              <w:tc>
                <w:tcPr>
                  <w:tcW w:w="375" w:type="dxa"/>
                  <w:vMerge w:val="continue"/>
                  <w:noWrap w:val="0"/>
                  <w:vAlign w:val="center"/>
                </w:tcPr>
                <w:p>
                  <w:pPr>
                    <w:jc w:val="center"/>
                    <w:rPr>
                      <w:sz w:val="18"/>
                      <w:szCs w:val="18"/>
                    </w:rPr>
                  </w:pPr>
                </w:p>
              </w:tc>
              <w:tc>
                <w:tcPr>
                  <w:tcW w:w="648" w:type="dxa"/>
                  <w:vMerge w:val="continue"/>
                  <w:noWrap w:val="0"/>
                  <w:vAlign w:val="center"/>
                </w:tcPr>
                <w:p>
                  <w:pPr>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vMerge w:val="restart"/>
                  <w:noWrap w:val="0"/>
                  <w:vAlign w:val="center"/>
                </w:tcPr>
                <w:p>
                  <w:pPr>
                    <w:jc w:val="center"/>
                    <w:rPr>
                      <w:sz w:val="18"/>
                      <w:szCs w:val="18"/>
                    </w:rPr>
                  </w:pPr>
                  <w:r>
                    <w:rPr>
                      <w:sz w:val="18"/>
                      <w:szCs w:val="18"/>
                    </w:rPr>
                    <w:t>DW001</w:t>
                  </w:r>
                </w:p>
              </w:tc>
              <w:tc>
                <w:tcPr>
                  <w:tcW w:w="597" w:type="dxa"/>
                  <w:vMerge w:val="restart"/>
                  <w:noWrap w:val="0"/>
                  <w:vAlign w:val="center"/>
                </w:tcPr>
                <w:p>
                  <w:pPr>
                    <w:jc w:val="center"/>
                    <w:rPr>
                      <w:sz w:val="18"/>
                      <w:szCs w:val="18"/>
                    </w:rPr>
                  </w:pPr>
                  <w:r>
                    <w:rPr>
                      <w:sz w:val="18"/>
                      <w:szCs w:val="18"/>
                    </w:rPr>
                    <w:t>污水排放口</w:t>
                  </w:r>
                </w:p>
              </w:tc>
              <w:tc>
                <w:tcPr>
                  <w:tcW w:w="672" w:type="dxa"/>
                  <w:noWrap w:val="0"/>
                  <w:vAlign w:val="center"/>
                </w:tcPr>
                <w:p>
                  <w:pPr>
                    <w:jc w:val="center"/>
                    <w:rPr>
                      <w:sz w:val="18"/>
                      <w:szCs w:val="18"/>
                    </w:rPr>
                  </w:pPr>
                  <w:r>
                    <w:rPr>
                      <w:sz w:val="18"/>
                      <w:szCs w:val="18"/>
                    </w:rPr>
                    <w:t>COD</w:t>
                  </w:r>
                </w:p>
              </w:tc>
              <w:tc>
                <w:tcPr>
                  <w:tcW w:w="495" w:type="dxa"/>
                  <w:vMerge w:val="restart"/>
                  <w:noWrap w:val="0"/>
                  <w:vAlign w:val="center"/>
                </w:tcPr>
                <w:p>
                  <w:pPr>
                    <w:jc w:val="center"/>
                    <w:rPr>
                      <w:sz w:val="18"/>
                      <w:szCs w:val="18"/>
                    </w:rPr>
                  </w:pPr>
                  <w:r>
                    <w:rPr>
                      <w:rFonts w:hint="eastAsia"/>
                      <w:sz w:val="18"/>
                      <w:szCs w:val="18"/>
                    </w:rPr>
                    <w:t>10260</w:t>
                  </w:r>
                </w:p>
              </w:tc>
              <w:tc>
                <w:tcPr>
                  <w:tcW w:w="630" w:type="dxa"/>
                  <w:vMerge w:val="restart"/>
                  <w:noWrap w:val="0"/>
                  <w:vAlign w:val="center"/>
                </w:tcPr>
                <w:p>
                  <w:pPr>
                    <w:jc w:val="center"/>
                    <w:rPr>
                      <w:sz w:val="18"/>
                      <w:szCs w:val="18"/>
                    </w:rPr>
                  </w:pPr>
                  <w:r>
                    <w:rPr>
                      <w:sz w:val="18"/>
                      <w:szCs w:val="18"/>
                    </w:rPr>
                    <w:t>120.93329</w:t>
                  </w:r>
                </w:p>
              </w:tc>
              <w:tc>
                <w:tcPr>
                  <w:tcW w:w="555" w:type="dxa"/>
                  <w:vMerge w:val="restart"/>
                  <w:noWrap w:val="0"/>
                  <w:vAlign w:val="center"/>
                </w:tcPr>
                <w:p>
                  <w:pPr>
                    <w:jc w:val="center"/>
                    <w:rPr>
                      <w:sz w:val="18"/>
                      <w:szCs w:val="18"/>
                    </w:rPr>
                  </w:pPr>
                  <w:r>
                    <w:rPr>
                      <w:sz w:val="18"/>
                      <w:szCs w:val="18"/>
                    </w:rPr>
                    <w:t>32.03118</w:t>
                  </w:r>
                </w:p>
              </w:tc>
              <w:tc>
                <w:tcPr>
                  <w:tcW w:w="630" w:type="dxa"/>
                  <w:vMerge w:val="restart"/>
                  <w:noWrap w:val="0"/>
                  <w:vAlign w:val="center"/>
                </w:tcPr>
                <w:p>
                  <w:pPr>
                    <w:jc w:val="center"/>
                    <w:rPr>
                      <w:sz w:val="18"/>
                      <w:szCs w:val="18"/>
                    </w:rPr>
                  </w:pPr>
                  <w:r>
                    <w:rPr>
                      <w:sz w:val="18"/>
                      <w:szCs w:val="18"/>
                    </w:rPr>
                    <w:t>一般排放口</w:t>
                  </w:r>
                </w:p>
              </w:tc>
              <w:tc>
                <w:tcPr>
                  <w:tcW w:w="720" w:type="dxa"/>
                  <w:vMerge w:val="restart"/>
                  <w:noWrap w:val="0"/>
                  <w:vAlign w:val="center"/>
                </w:tcPr>
                <w:p>
                  <w:pPr>
                    <w:jc w:val="center"/>
                    <w:rPr>
                      <w:sz w:val="18"/>
                      <w:szCs w:val="18"/>
                    </w:rPr>
                  </w:pPr>
                  <w:r>
                    <w:rPr>
                      <w:sz w:val="18"/>
                      <w:szCs w:val="18"/>
                    </w:rPr>
                    <w:t>间接排放，排放期间流量不稳定</w:t>
                  </w:r>
                </w:p>
              </w:tc>
              <w:tc>
                <w:tcPr>
                  <w:tcW w:w="705" w:type="dxa"/>
                  <w:noWrap w:val="0"/>
                  <w:vAlign w:val="center"/>
                </w:tcPr>
                <w:p>
                  <w:pPr>
                    <w:jc w:val="center"/>
                    <w:rPr>
                      <w:sz w:val="18"/>
                      <w:szCs w:val="18"/>
                    </w:rPr>
                  </w:pPr>
                  <w:r>
                    <w:rPr>
                      <w:rFonts w:hint="eastAsia"/>
                      <w:sz w:val="18"/>
                      <w:szCs w:val="18"/>
                    </w:rPr>
                    <w:t>200</w:t>
                  </w:r>
                </w:p>
              </w:tc>
              <w:tc>
                <w:tcPr>
                  <w:tcW w:w="1020" w:type="dxa"/>
                  <w:vMerge w:val="restart"/>
                  <w:noWrap w:val="0"/>
                  <w:vAlign w:val="center"/>
                </w:tcPr>
                <w:p>
                  <w:pPr>
                    <w:jc w:val="center"/>
                    <w:rPr>
                      <w:sz w:val="18"/>
                      <w:szCs w:val="18"/>
                    </w:rPr>
                  </w:pPr>
                  <w:r>
                    <w:rPr>
                      <w:sz w:val="18"/>
                      <w:szCs w:val="18"/>
                    </w:rPr>
                    <w:t>《纺织染整工业水污染物排放标准》（GB4287-2012）</w:t>
                  </w:r>
                  <w:r>
                    <w:rPr>
                      <w:rFonts w:hint="eastAsia"/>
                      <w:sz w:val="18"/>
                      <w:szCs w:val="18"/>
                    </w:rPr>
                    <w:t>及其修改单</w:t>
                  </w:r>
                  <w:r>
                    <w:rPr>
                      <w:sz w:val="18"/>
                      <w:szCs w:val="18"/>
                    </w:rPr>
                    <w:t>、《污水综合排放标准》（GB8978-1996）</w:t>
                  </w:r>
                </w:p>
              </w:tc>
              <w:tc>
                <w:tcPr>
                  <w:tcW w:w="465" w:type="dxa"/>
                  <w:vMerge w:val="restart"/>
                  <w:noWrap w:val="0"/>
                  <w:vAlign w:val="center"/>
                </w:tcPr>
                <w:p>
                  <w:pPr>
                    <w:jc w:val="center"/>
                    <w:rPr>
                      <w:sz w:val="18"/>
                      <w:szCs w:val="18"/>
                    </w:rPr>
                  </w:pPr>
                  <w:r>
                    <w:rPr>
                      <w:sz w:val="18"/>
                      <w:szCs w:val="18"/>
                    </w:rPr>
                    <w:t>间接排放</w:t>
                  </w:r>
                </w:p>
              </w:tc>
              <w:tc>
                <w:tcPr>
                  <w:tcW w:w="375" w:type="dxa"/>
                  <w:vMerge w:val="restart"/>
                  <w:noWrap w:val="0"/>
                  <w:vAlign w:val="center"/>
                </w:tcPr>
                <w:p>
                  <w:pPr>
                    <w:jc w:val="center"/>
                    <w:rPr>
                      <w:rFonts w:hint="eastAsia" w:eastAsia="宋体"/>
                      <w:sz w:val="18"/>
                      <w:szCs w:val="18"/>
                      <w:lang w:eastAsia="zh-CN"/>
                    </w:rPr>
                  </w:pPr>
                  <w:r>
                    <w:rPr>
                      <w:rFonts w:hint="eastAsia"/>
                      <w:sz w:val="18"/>
                      <w:szCs w:val="18"/>
                      <w:lang w:eastAsia="zh-CN"/>
                    </w:rPr>
                    <w:t>启东城市污水处理厂</w:t>
                  </w:r>
                </w:p>
              </w:tc>
              <w:tc>
                <w:tcPr>
                  <w:tcW w:w="648" w:type="dxa"/>
                  <w:vMerge w:val="restart"/>
                  <w:noWrap w:val="0"/>
                  <w:vAlign w:val="center"/>
                </w:tcPr>
                <w:p>
                  <w:pPr>
                    <w:jc w:val="center"/>
                    <w:rPr>
                      <w:sz w:val="18"/>
                      <w:szCs w:val="18"/>
                    </w:rPr>
                  </w:pPr>
                  <w:r>
                    <w:rPr>
                      <w:sz w:val="18"/>
                      <w:szCs w:val="18"/>
                    </w:rPr>
                    <w:t>长江，Ⅲ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85" w:hRule="atLeast"/>
              </w:trPr>
              <w:tc>
                <w:tcPr>
                  <w:tcW w:w="555" w:type="dxa"/>
                  <w:vMerge w:val="continue"/>
                  <w:noWrap w:val="0"/>
                  <w:vAlign w:val="center"/>
                </w:tcPr>
                <w:p>
                  <w:pPr>
                    <w:jc w:val="center"/>
                    <w:rPr>
                      <w:sz w:val="18"/>
                      <w:szCs w:val="18"/>
                    </w:rPr>
                  </w:pPr>
                </w:p>
              </w:tc>
              <w:tc>
                <w:tcPr>
                  <w:tcW w:w="597" w:type="dxa"/>
                  <w:vMerge w:val="continue"/>
                  <w:noWrap w:val="0"/>
                  <w:vAlign w:val="center"/>
                </w:tcPr>
                <w:p>
                  <w:pPr>
                    <w:jc w:val="center"/>
                    <w:rPr>
                      <w:sz w:val="18"/>
                      <w:szCs w:val="18"/>
                    </w:rPr>
                  </w:pPr>
                </w:p>
              </w:tc>
              <w:tc>
                <w:tcPr>
                  <w:tcW w:w="672" w:type="dxa"/>
                  <w:noWrap w:val="0"/>
                  <w:vAlign w:val="center"/>
                </w:tcPr>
                <w:p>
                  <w:pPr>
                    <w:jc w:val="center"/>
                    <w:rPr>
                      <w:sz w:val="18"/>
                      <w:szCs w:val="18"/>
                    </w:rPr>
                  </w:pPr>
                  <w:r>
                    <w:rPr>
                      <w:sz w:val="18"/>
                      <w:szCs w:val="18"/>
                    </w:rPr>
                    <w:t>BOD</w:t>
                  </w:r>
                  <w:r>
                    <w:rPr>
                      <w:sz w:val="18"/>
                      <w:szCs w:val="18"/>
                      <w:vertAlign w:val="subscript"/>
                    </w:rPr>
                    <w:t>5</w:t>
                  </w:r>
                </w:p>
              </w:tc>
              <w:tc>
                <w:tcPr>
                  <w:tcW w:w="49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55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720" w:type="dxa"/>
                  <w:vMerge w:val="continue"/>
                  <w:noWrap w:val="0"/>
                  <w:vAlign w:val="center"/>
                </w:tcPr>
                <w:p>
                  <w:pPr>
                    <w:jc w:val="center"/>
                    <w:rPr>
                      <w:sz w:val="18"/>
                      <w:szCs w:val="18"/>
                    </w:rPr>
                  </w:pPr>
                </w:p>
              </w:tc>
              <w:tc>
                <w:tcPr>
                  <w:tcW w:w="705" w:type="dxa"/>
                  <w:noWrap w:val="0"/>
                  <w:vAlign w:val="center"/>
                </w:tcPr>
                <w:p>
                  <w:pPr>
                    <w:jc w:val="center"/>
                    <w:rPr>
                      <w:sz w:val="18"/>
                      <w:szCs w:val="18"/>
                    </w:rPr>
                  </w:pPr>
                  <w:r>
                    <w:rPr>
                      <w:rFonts w:hint="eastAsia"/>
                      <w:sz w:val="18"/>
                      <w:szCs w:val="18"/>
                    </w:rPr>
                    <w:t>50</w:t>
                  </w:r>
                </w:p>
              </w:tc>
              <w:tc>
                <w:tcPr>
                  <w:tcW w:w="1020" w:type="dxa"/>
                  <w:vMerge w:val="continue"/>
                  <w:noWrap w:val="0"/>
                  <w:vAlign w:val="center"/>
                </w:tcPr>
                <w:p>
                  <w:pPr>
                    <w:jc w:val="center"/>
                    <w:rPr>
                      <w:sz w:val="18"/>
                      <w:szCs w:val="18"/>
                    </w:rPr>
                  </w:pPr>
                </w:p>
              </w:tc>
              <w:tc>
                <w:tcPr>
                  <w:tcW w:w="465" w:type="dxa"/>
                  <w:vMerge w:val="continue"/>
                  <w:noWrap w:val="0"/>
                  <w:vAlign w:val="center"/>
                </w:tcPr>
                <w:p>
                  <w:pPr>
                    <w:jc w:val="center"/>
                    <w:rPr>
                      <w:sz w:val="18"/>
                      <w:szCs w:val="18"/>
                    </w:rPr>
                  </w:pPr>
                </w:p>
              </w:tc>
              <w:tc>
                <w:tcPr>
                  <w:tcW w:w="375" w:type="dxa"/>
                  <w:vMerge w:val="continue"/>
                  <w:noWrap w:val="0"/>
                  <w:vAlign w:val="center"/>
                </w:tcPr>
                <w:p>
                  <w:pPr>
                    <w:jc w:val="center"/>
                    <w:rPr>
                      <w:sz w:val="18"/>
                      <w:szCs w:val="18"/>
                    </w:rPr>
                  </w:pPr>
                </w:p>
              </w:tc>
              <w:tc>
                <w:tcPr>
                  <w:tcW w:w="648" w:type="dxa"/>
                  <w:vMerge w:val="continue"/>
                  <w:noWrap w:val="0"/>
                  <w:vAlign w:val="center"/>
                </w:tcPr>
                <w:p>
                  <w:pPr>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55" w:type="dxa"/>
                  <w:vMerge w:val="continue"/>
                  <w:noWrap w:val="0"/>
                  <w:vAlign w:val="center"/>
                </w:tcPr>
                <w:p>
                  <w:pPr>
                    <w:jc w:val="center"/>
                    <w:rPr>
                      <w:sz w:val="18"/>
                      <w:szCs w:val="18"/>
                    </w:rPr>
                  </w:pPr>
                </w:p>
              </w:tc>
              <w:tc>
                <w:tcPr>
                  <w:tcW w:w="597" w:type="dxa"/>
                  <w:vMerge w:val="continue"/>
                  <w:noWrap w:val="0"/>
                  <w:vAlign w:val="center"/>
                </w:tcPr>
                <w:p>
                  <w:pPr>
                    <w:jc w:val="center"/>
                    <w:rPr>
                      <w:sz w:val="18"/>
                      <w:szCs w:val="18"/>
                    </w:rPr>
                  </w:pPr>
                </w:p>
              </w:tc>
              <w:tc>
                <w:tcPr>
                  <w:tcW w:w="672" w:type="dxa"/>
                  <w:noWrap w:val="0"/>
                  <w:vAlign w:val="center"/>
                </w:tcPr>
                <w:p>
                  <w:pPr>
                    <w:jc w:val="center"/>
                    <w:rPr>
                      <w:sz w:val="18"/>
                      <w:szCs w:val="18"/>
                    </w:rPr>
                  </w:pPr>
                  <w:r>
                    <w:rPr>
                      <w:sz w:val="18"/>
                      <w:szCs w:val="18"/>
                    </w:rPr>
                    <w:t>SS</w:t>
                  </w:r>
                </w:p>
              </w:tc>
              <w:tc>
                <w:tcPr>
                  <w:tcW w:w="49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55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720" w:type="dxa"/>
                  <w:vMerge w:val="continue"/>
                  <w:noWrap w:val="0"/>
                  <w:vAlign w:val="center"/>
                </w:tcPr>
                <w:p>
                  <w:pPr>
                    <w:jc w:val="center"/>
                    <w:rPr>
                      <w:sz w:val="18"/>
                      <w:szCs w:val="18"/>
                    </w:rPr>
                  </w:pPr>
                </w:p>
              </w:tc>
              <w:tc>
                <w:tcPr>
                  <w:tcW w:w="705" w:type="dxa"/>
                  <w:noWrap w:val="0"/>
                  <w:vAlign w:val="center"/>
                </w:tcPr>
                <w:p>
                  <w:pPr>
                    <w:jc w:val="center"/>
                    <w:rPr>
                      <w:sz w:val="18"/>
                      <w:szCs w:val="18"/>
                    </w:rPr>
                  </w:pPr>
                  <w:r>
                    <w:rPr>
                      <w:rFonts w:hint="eastAsia"/>
                      <w:sz w:val="18"/>
                      <w:szCs w:val="18"/>
                    </w:rPr>
                    <w:t>1</w:t>
                  </w:r>
                  <w:r>
                    <w:rPr>
                      <w:sz w:val="18"/>
                      <w:szCs w:val="18"/>
                    </w:rPr>
                    <w:t>00</w:t>
                  </w:r>
                </w:p>
              </w:tc>
              <w:tc>
                <w:tcPr>
                  <w:tcW w:w="1020" w:type="dxa"/>
                  <w:vMerge w:val="continue"/>
                  <w:noWrap w:val="0"/>
                  <w:vAlign w:val="center"/>
                </w:tcPr>
                <w:p>
                  <w:pPr>
                    <w:jc w:val="center"/>
                    <w:rPr>
                      <w:sz w:val="18"/>
                      <w:szCs w:val="18"/>
                    </w:rPr>
                  </w:pPr>
                </w:p>
              </w:tc>
              <w:tc>
                <w:tcPr>
                  <w:tcW w:w="465" w:type="dxa"/>
                  <w:vMerge w:val="continue"/>
                  <w:noWrap w:val="0"/>
                  <w:vAlign w:val="center"/>
                </w:tcPr>
                <w:p>
                  <w:pPr>
                    <w:jc w:val="center"/>
                    <w:rPr>
                      <w:sz w:val="18"/>
                      <w:szCs w:val="18"/>
                    </w:rPr>
                  </w:pPr>
                </w:p>
              </w:tc>
              <w:tc>
                <w:tcPr>
                  <w:tcW w:w="375" w:type="dxa"/>
                  <w:vMerge w:val="continue"/>
                  <w:noWrap w:val="0"/>
                  <w:vAlign w:val="center"/>
                </w:tcPr>
                <w:p>
                  <w:pPr>
                    <w:jc w:val="center"/>
                    <w:rPr>
                      <w:sz w:val="18"/>
                      <w:szCs w:val="18"/>
                    </w:rPr>
                  </w:pPr>
                </w:p>
              </w:tc>
              <w:tc>
                <w:tcPr>
                  <w:tcW w:w="648" w:type="dxa"/>
                  <w:vMerge w:val="continue"/>
                  <w:noWrap w:val="0"/>
                  <w:vAlign w:val="center"/>
                </w:tcPr>
                <w:p>
                  <w:pPr>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27" w:hRule="atLeast"/>
              </w:trPr>
              <w:tc>
                <w:tcPr>
                  <w:tcW w:w="555" w:type="dxa"/>
                  <w:vMerge w:val="continue"/>
                  <w:noWrap w:val="0"/>
                  <w:vAlign w:val="center"/>
                </w:tcPr>
                <w:p>
                  <w:pPr>
                    <w:jc w:val="center"/>
                    <w:rPr>
                      <w:sz w:val="18"/>
                      <w:szCs w:val="18"/>
                    </w:rPr>
                  </w:pPr>
                </w:p>
              </w:tc>
              <w:tc>
                <w:tcPr>
                  <w:tcW w:w="597" w:type="dxa"/>
                  <w:vMerge w:val="continue"/>
                  <w:noWrap w:val="0"/>
                  <w:vAlign w:val="center"/>
                </w:tcPr>
                <w:p>
                  <w:pPr>
                    <w:jc w:val="center"/>
                    <w:rPr>
                      <w:sz w:val="18"/>
                      <w:szCs w:val="18"/>
                    </w:rPr>
                  </w:pPr>
                </w:p>
              </w:tc>
              <w:tc>
                <w:tcPr>
                  <w:tcW w:w="672" w:type="dxa"/>
                  <w:noWrap w:val="0"/>
                  <w:vAlign w:val="center"/>
                </w:tcPr>
                <w:p>
                  <w:pPr>
                    <w:jc w:val="center"/>
                    <w:rPr>
                      <w:sz w:val="18"/>
                      <w:szCs w:val="18"/>
                    </w:rPr>
                  </w:pPr>
                  <w:r>
                    <w:rPr>
                      <w:sz w:val="18"/>
                      <w:szCs w:val="18"/>
                    </w:rPr>
                    <w:t>NH</w:t>
                  </w:r>
                  <w:r>
                    <w:rPr>
                      <w:sz w:val="18"/>
                      <w:szCs w:val="18"/>
                      <w:vertAlign w:val="subscript"/>
                    </w:rPr>
                    <w:t>3</w:t>
                  </w:r>
                  <w:r>
                    <w:rPr>
                      <w:sz w:val="18"/>
                      <w:szCs w:val="18"/>
                    </w:rPr>
                    <w:t>-N</w:t>
                  </w:r>
                </w:p>
              </w:tc>
              <w:tc>
                <w:tcPr>
                  <w:tcW w:w="49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55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720" w:type="dxa"/>
                  <w:vMerge w:val="continue"/>
                  <w:noWrap w:val="0"/>
                  <w:vAlign w:val="center"/>
                </w:tcPr>
                <w:p>
                  <w:pPr>
                    <w:jc w:val="center"/>
                    <w:rPr>
                      <w:sz w:val="18"/>
                      <w:szCs w:val="18"/>
                    </w:rPr>
                  </w:pPr>
                </w:p>
              </w:tc>
              <w:tc>
                <w:tcPr>
                  <w:tcW w:w="705" w:type="dxa"/>
                  <w:noWrap w:val="0"/>
                  <w:vAlign w:val="center"/>
                </w:tcPr>
                <w:p>
                  <w:pPr>
                    <w:jc w:val="center"/>
                    <w:rPr>
                      <w:sz w:val="18"/>
                      <w:szCs w:val="18"/>
                    </w:rPr>
                  </w:pPr>
                  <w:r>
                    <w:rPr>
                      <w:rFonts w:hint="eastAsia"/>
                      <w:sz w:val="18"/>
                      <w:szCs w:val="18"/>
                    </w:rPr>
                    <w:t>20</w:t>
                  </w:r>
                </w:p>
              </w:tc>
              <w:tc>
                <w:tcPr>
                  <w:tcW w:w="1020" w:type="dxa"/>
                  <w:vMerge w:val="continue"/>
                  <w:noWrap w:val="0"/>
                  <w:vAlign w:val="center"/>
                </w:tcPr>
                <w:p>
                  <w:pPr>
                    <w:jc w:val="center"/>
                    <w:rPr>
                      <w:sz w:val="18"/>
                      <w:szCs w:val="18"/>
                    </w:rPr>
                  </w:pPr>
                </w:p>
              </w:tc>
              <w:tc>
                <w:tcPr>
                  <w:tcW w:w="465" w:type="dxa"/>
                  <w:vMerge w:val="continue"/>
                  <w:noWrap w:val="0"/>
                  <w:vAlign w:val="center"/>
                </w:tcPr>
                <w:p>
                  <w:pPr>
                    <w:jc w:val="center"/>
                    <w:rPr>
                      <w:sz w:val="18"/>
                      <w:szCs w:val="18"/>
                    </w:rPr>
                  </w:pPr>
                </w:p>
              </w:tc>
              <w:tc>
                <w:tcPr>
                  <w:tcW w:w="375" w:type="dxa"/>
                  <w:vMerge w:val="continue"/>
                  <w:noWrap w:val="0"/>
                  <w:vAlign w:val="center"/>
                </w:tcPr>
                <w:p>
                  <w:pPr>
                    <w:jc w:val="center"/>
                    <w:rPr>
                      <w:sz w:val="18"/>
                      <w:szCs w:val="18"/>
                    </w:rPr>
                  </w:pPr>
                </w:p>
              </w:tc>
              <w:tc>
                <w:tcPr>
                  <w:tcW w:w="648" w:type="dxa"/>
                  <w:vMerge w:val="continue"/>
                  <w:noWrap w:val="0"/>
                  <w:vAlign w:val="center"/>
                </w:tcPr>
                <w:p>
                  <w:pPr>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82" w:hRule="atLeast"/>
              </w:trPr>
              <w:tc>
                <w:tcPr>
                  <w:tcW w:w="555" w:type="dxa"/>
                  <w:vMerge w:val="continue"/>
                  <w:noWrap w:val="0"/>
                  <w:vAlign w:val="center"/>
                </w:tcPr>
                <w:p>
                  <w:pPr>
                    <w:jc w:val="center"/>
                    <w:rPr>
                      <w:sz w:val="18"/>
                      <w:szCs w:val="18"/>
                    </w:rPr>
                  </w:pPr>
                </w:p>
              </w:tc>
              <w:tc>
                <w:tcPr>
                  <w:tcW w:w="597" w:type="dxa"/>
                  <w:vMerge w:val="continue"/>
                  <w:noWrap w:val="0"/>
                  <w:vAlign w:val="center"/>
                </w:tcPr>
                <w:p>
                  <w:pPr>
                    <w:jc w:val="center"/>
                    <w:rPr>
                      <w:sz w:val="18"/>
                      <w:szCs w:val="18"/>
                    </w:rPr>
                  </w:pPr>
                </w:p>
              </w:tc>
              <w:tc>
                <w:tcPr>
                  <w:tcW w:w="672" w:type="dxa"/>
                  <w:noWrap w:val="0"/>
                  <w:vAlign w:val="center"/>
                </w:tcPr>
                <w:p>
                  <w:pPr>
                    <w:jc w:val="center"/>
                    <w:rPr>
                      <w:sz w:val="18"/>
                      <w:szCs w:val="18"/>
                    </w:rPr>
                  </w:pPr>
                  <w:r>
                    <w:rPr>
                      <w:sz w:val="18"/>
                      <w:szCs w:val="18"/>
                    </w:rPr>
                    <w:t>TP</w:t>
                  </w:r>
                </w:p>
              </w:tc>
              <w:tc>
                <w:tcPr>
                  <w:tcW w:w="49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55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720" w:type="dxa"/>
                  <w:vMerge w:val="continue"/>
                  <w:noWrap w:val="0"/>
                  <w:vAlign w:val="center"/>
                </w:tcPr>
                <w:p>
                  <w:pPr>
                    <w:jc w:val="center"/>
                    <w:rPr>
                      <w:sz w:val="18"/>
                      <w:szCs w:val="18"/>
                    </w:rPr>
                  </w:pPr>
                </w:p>
              </w:tc>
              <w:tc>
                <w:tcPr>
                  <w:tcW w:w="705" w:type="dxa"/>
                  <w:noWrap w:val="0"/>
                  <w:vAlign w:val="center"/>
                </w:tcPr>
                <w:p>
                  <w:pPr>
                    <w:jc w:val="center"/>
                    <w:rPr>
                      <w:sz w:val="18"/>
                      <w:szCs w:val="18"/>
                    </w:rPr>
                  </w:pPr>
                  <w:r>
                    <w:rPr>
                      <w:rFonts w:hint="eastAsia"/>
                      <w:sz w:val="18"/>
                      <w:szCs w:val="18"/>
                    </w:rPr>
                    <w:t>1.5</w:t>
                  </w:r>
                </w:p>
              </w:tc>
              <w:tc>
                <w:tcPr>
                  <w:tcW w:w="1020" w:type="dxa"/>
                  <w:vMerge w:val="continue"/>
                  <w:noWrap w:val="0"/>
                  <w:vAlign w:val="center"/>
                </w:tcPr>
                <w:p>
                  <w:pPr>
                    <w:jc w:val="center"/>
                    <w:rPr>
                      <w:sz w:val="18"/>
                      <w:szCs w:val="18"/>
                    </w:rPr>
                  </w:pPr>
                </w:p>
              </w:tc>
              <w:tc>
                <w:tcPr>
                  <w:tcW w:w="465" w:type="dxa"/>
                  <w:vMerge w:val="continue"/>
                  <w:noWrap w:val="0"/>
                  <w:vAlign w:val="center"/>
                </w:tcPr>
                <w:p>
                  <w:pPr>
                    <w:jc w:val="center"/>
                    <w:rPr>
                      <w:sz w:val="18"/>
                      <w:szCs w:val="18"/>
                    </w:rPr>
                  </w:pPr>
                </w:p>
              </w:tc>
              <w:tc>
                <w:tcPr>
                  <w:tcW w:w="375" w:type="dxa"/>
                  <w:vMerge w:val="continue"/>
                  <w:noWrap w:val="0"/>
                  <w:vAlign w:val="center"/>
                </w:tcPr>
                <w:p>
                  <w:pPr>
                    <w:jc w:val="center"/>
                    <w:rPr>
                      <w:sz w:val="18"/>
                      <w:szCs w:val="18"/>
                    </w:rPr>
                  </w:pPr>
                </w:p>
              </w:tc>
              <w:tc>
                <w:tcPr>
                  <w:tcW w:w="648" w:type="dxa"/>
                  <w:vMerge w:val="continue"/>
                  <w:noWrap w:val="0"/>
                  <w:vAlign w:val="center"/>
                </w:tcPr>
                <w:p>
                  <w:pPr>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57" w:hRule="atLeast"/>
              </w:trPr>
              <w:tc>
                <w:tcPr>
                  <w:tcW w:w="555" w:type="dxa"/>
                  <w:vMerge w:val="continue"/>
                  <w:noWrap w:val="0"/>
                  <w:vAlign w:val="center"/>
                </w:tcPr>
                <w:p>
                  <w:pPr>
                    <w:jc w:val="center"/>
                    <w:rPr>
                      <w:sz w:val="18"/>
                      <w:szCs w:val="18"/>
                    </w:rPr>
                  </w:pPr>
                </w:p>
              </w:tc>
              <w:tc>
                <w:tcPr>
                  <w:tcW w:w="597" w:type="dxa"/>
                  <w:vMerge w:val="continue"/>
                  <w:noWrap w:val="0"/>
                  <w:vAlign w:val="center"/>
                </w:tcPr>
                <w:p>
                  <w:pPr>
                    <w:jc w:val="center"/>
                    <w:rPr>
                      <w:sz w:val="18"/>
                      <w:szCs w:val="18"/>
                    </w:rPr>
                  </w:pPr>
                </w:p>
              </w:tc>
              <w:tc>
                <w:tcPr>
                  <w:tcW w:w="672" w:type="dxa"/>
                  <w:noWrap w:val="0"/>
                  <w:vAlign w:val="center"/>
                </w:tcPr>
                <w:p>
                  <w:pPr>
                    <w:jc w:val="center"/>
                    <w:rPr>
                      <w:sz w:val="18"/>
                      <w:szCs w:val="18"/>
                    </w:rPr>
                  </w:pPr>
                  <w:r>
                    <w:rPr>
                      <w:sz w:val="18"/>
                      <w:szCs w:val="18"/>
                    </w:rPr>
                    <w:t>TN</w:t>
                  </w:r>
                </w:p>
              </w:tc>
              <w:tc>
                <w:tcPr>
                  <w:tcW w:w="49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55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720" w:type="dxa"/>
                  <w:vMerge w:val="continue"/>
                  <w:noWrap w:val="0"/>
                  <w:vAlign w:val="center"/>
                </w:tcPr>
                <w:p>
                  <w:pPr>
                    <w:jc w:val="center"/>
                    <w:rPr>
                      <w:sz w:val="18"/>
                      <w:szCs w:val="18"/>
                    </w:rPr>
                  </w:pPr>
                </w:p>
              </w:tc>
              <w:tc>
                <w:tcPr>
                  <w:tcW w:w="705" w:type="dxa"/>
                  <w:noWrap w:val="0"/>
                  <w:vAlign w:val="center"/>
                </w:tcPr>
                <w:p>
                  <w:pPr>
                    <w:jc w:val="center"/>
                    <w:rPr>
                      <w:sz w:val="18"/>
                      <w:szCs w:val="18"/>
                    </w:rPr>
                  </w:pPr>
                  <w:r>
                    <w:rPr>
                      <w:rFonts w:hint="eastAsia"/>
                      <w:sz w:val="18"/>
                      <w:szCs w:val="18"/>
                    </w:rPr>
                    <w:t>30</w:t>
                  </w:r>
                </w:p>
              </w:tc>
              <w:tc>
                <w:tcPr>
                  <w:tcW w:w="1020" w:type="dxa"/>
                  <w:vMerge w:val="continue"/>
                  <w:noWrap w:val="0"/>
                  <w:vAlign w:val="center"/>
                </w:tcPr>
                <w:p>
                  <w:pPr>
                    <w:jc w:val="center"/>
                    <w:rPr>
                      <w:sz w:val="18"/>
                      <w:szCs w:val="18"/>
                    </w:rPr>
                  </w:pPr>
                </w:p>
              </w:tc>
              <w:tc>
                <w:tcPr>
                  <w:tcW w:w="465" w:type="dxa"/>
                  <w:vMerge w:val="continue"/>
                  <w:noWrap w:val="0"/>
                  <w:vAlign w:val="center"/>
                </w:tcPr>
                <w:p>
                  <w:pPr>
                    <w:jc w:val="center"/>
                    <w:rPr>
                      <w:sz w:val="18"/>
                      <w:szCs w:val="18"/>
                    </w:rPr>
                  </w:pPr>
                </w:p>
              </w:tc>
              <w:tc>
                <w:tcPr>
                  <w:tcW w:w="375" w:type="dxa"/>
                  <w:vMerge w:val="continue"/>
                  <w:noWrap w:val="0"/>
                  <w:vAlign w:val="center"/>
                </w:tcPr>
                <w:p>
                  <w:pPr>
                    <w:jc w:val="center"/>
                    <w:rPr>
                      <w:sz w:val="18"/>
                      <w:szCs w:val="18"/>
                    </w:rPr>
                  </w:pPr>
                </w:p>
              </w:tc>
              <w:tc>
                <w:tcPr>
                  <w:tcW w:w="648" w:type="dxa"/>
                  <w:vMerge w:val="continue"/>
                  <w:noWrap w:val="0"/>
                  <w:vAlign w:val="center"/>
                </w:tcPr>
                <w:p>
                  <w:pPr>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57" w:hRule="atLeast"/>
              </w:trPr>
              <w:tc>
                <w:tcPr>
                  <w:tcW w:w="555" w:type="dxa"/>
                  <w:vMerge w:val="continue"/>
                  <w:noWrap w:val="0"/>
                  <w:vAlign w:val="center"/>
                </w:tcPr>
                <w:p>
                  <w:pPr>
                    <w:jc w:val="center"/>
                    <w:rPr>
                      <w:sz w:val="18"/>
                      <w:szCs w:val="18"/>
                    </w:rPr>
                  </w:pPr>
                </w:p>
              </w:tc>
              <w:tc>
                <w:tcPr>
                  <w:tcW w:w="597" w:type="dxa"/>
                  <w:vMerge w:val="continue"/>
                  <w:noWrap w:val="0"/>
                  <w:vAlign w:val="center"/>
                </w:tcPr>
                <w:p>
                  <w:pPr>
                    <w:jc w:val="center"/>
                    <w:rPr>
                      <w:sz w:val="18"/>
                      <w:szCs w:val="18"/>
                    </w:rPr>
                  </w:pPr>
                </w:p>
              </w:tc>
              <w:tc>
                <w:tcPr>
                  <w:tcW w:w="672" w:type="dxa"/>
                  <w:noWrap w:val="0"/>
                  <w:vAlign w:val="center"/>
                </w:tcPr>
                <w:p>
                  <w:pPr>
                    <w:jc w:val="center"/>
                    <w:rPr>
                      <w:sz w:val="18"/>
                      <w:szCs w:val="18"/>
                    </w:rPr>
                  </w:pPr>
                  <w:r>
                    <w:rPr>
                      <w:sz w:val="18"/>
                      <w:szCs w:val="18"/>
                    </w:rPr>
                    <w:t>LAS</w:t>
                  </w:r>
                </w:p>
              </w:tc>
              <w:tc>
                <w:tcPr>
                  <w:tcW w:w="49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55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720" w:type="dxa"/>
                  <w:vMerge w:val="continue"/>
                  <w:noWrap w:val="0"/>
                  <w:vAlign w:val="center"/>
                </w:tcPr>
                <w:p>
                  <w:pPr>
                    <w:jc w:val="center"/>
                    <w:rPr>
                      <w:sz w:val="18"/>
                      <w:szCs w:val="18"/>
                    </w:rPr>
                  </w:pPr>
                </w:p>
              </w:tc>
              <w:tc>
                <w:tcPr>
                  <w:tcW w:w="705" w:type="dxa"/>
                  <w:noWrap w:val="0"/>
                  <w:vAlign w:val="center"/>
                </w:tcPr>
                <w:p>
                  <w:pPr>
                    <w:jc w:val="center"/>
                    <w:rPr>
                      <w:sz w:val="18"/>
                      <w:szCs w:val="18"/>
                    </w:rPr>
                  </w:pPr>
                  <w:r>
                    <w:rPr>
                      <w:sz w:val="18"/>
                      <w:szCs w:val="18"/>
                    </w:rPr>
                    <w:t>20</w:t>
                  </w:r>
                </w:p>
              </w:tc>
              <w:tc>
                <w:tcPr>
                  <w:tcW w:w="1020" w:type="dxa"/>
                  <w:vMerge w:val="continue"/>
                  <w:noWrap w:val="0"/>
                  <w:vAlign w:val="center"/>
                </w:tcPr>
                <w:p>
                  <w:pPr>
                    <w:jc w:val="center"/>
                    <w:rPr>
                      <w:sz w:val="18"/>
                      <w:szCs w:val="18"/>
                    </w:rPr>
                  </w:pPr>
                </w:p>
              </w:tc>
              <w:tc>
                <w:tcPr>
                  <w:tcW w:w="465" w:type="dxa"/>
                  <w:vMerge w:val="continue"/>
                  <w:noWrap w:val="0"/>
                  <w:vAlign w:val="center"/>
                </w:tcPr>
                <w:p>
                  <w:pPr>
                    <w:jc w:val="center"/>
                    <w:rPr>
                      <w:sz w:val="18"/>
                      <w:szCs w:val="18"/>
                    </w:rPr>
                  </w:pPr>
                </w:p>
              </w:tc>
              <w:tc>
                <w:tcPr>
                  <w:tcW w:w="375" w:type="dxa"/>
                  <w:vMerge w:val="continue"/>
                  <w:noWrap w:val="0"/>
                  <w:vAlign w:val="center"/>
                </w:tcPr>
                <w:p>
                  <w:pPr>
                    <w:jc w:val="center"/>
                    <w:rPr>
                      <w:sz w:val="18"/>
                      <w:szCs w:val="18"/>
                    </w:rPr>
                  </w:pPr>
                </w:p>
              </w:tc>
              <w:tc>
                <w:tcPr>
                  <w:tcW w:w="648" w:type="dxa"/>
                  <w:vMerge w:val="continue"/>
                  <w:noWrap w:val="0"/>
                  <w:vAlign w:val="center"/>
                </w:tcPr>
                <w:p>
                  <w:pPr>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14" w:hRule="atLeast"/>
              </w:trPr>
              <w:tc>
                <w:tcPr>
                  <w:tcW w:w="555" w:type="dxa"/>
                  <w:vMerge w:val="continue"/>
                  <w:noWrap w:val="0"/>
                  <w:vAlign w:val="center"/>
                </w:tcPr>
                <w:p>
                  <w:pPr>
                    <w:jc w:val="center"/>
                    <w:rPr>
                      <w:sz w:val="18"/>
                      <w:szCs w:val="18"/>
                    </w:rPr>
                  </w:pPr>
                </w:p>
              </w:tc>
              <w:tc>
                <w:tcPr>
                  <w:tcW w:w="597" w:type="dxa"/>
                  <w:vMerge w:val="continue"/>
                  <w:noWrap w:val="0"/>
                  <w:vAlign w:val="center"/>
                </w:tcPr>
                <w:p>
                  <w:pPr>
                    <w:jc w:val="center"/>
                    <w:rPr>
                      <w:sz w:val="18"/>
                      <w:szCs w:val="18"/>
                    </w:rPr>
                  </w:pPr>
                </w:p>
              </w:tc>
              <w:tc>
                <w:tcPr>
                  <w:tcW w:w="672" w:type="dxa"/>
                  <w:noWrap w:val="0"/>
                  <w:vAlign w:val="center"/>
                </w:tcPr>
                <w:p>
                  <w:pPr>
                    <w:jc w:val="center"/>
                    <w:rPr>
                      <w:sz w:val="18"/>
                      <w:szCs w:val="18"/>
                    </w:rPr>
                  </w:pPr>
                  <w:r>
                    <w:rPr>
                      <w:sz w:val="18"/>
                      <w:szCs w:val="18"/>
                    </w:rPr>
                    <w:t>色度</w:t>
                  </w:r>
                </w:p>
              </w:tc>
              <w:tc>
                <w:tcPr>
                  <w:tcW w:w="49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555" w:type="dxa"/>
                  <w:vMerge w:val="continue"/>
                  <w:noWrap w:val="0"/>
                  <w:vAlign w:val="center"/>
                </w:tcPr>
                <w:p>
                  <w:pPr>
                    <w:jc w:val="center"/>
                    <w:rPr>
                      <w:sz w:val="18"/>
                      <w:szCs w:val="18"/>
                    </w:rPr>
                  </w:pPr>
                </w:p>
              </w:tc>
              <w:tc>
                <w:tcPr>
                  <w:tcW w:w="630" w:type="dxa"/>
                  <w:vMerge w:val="continue"/>
                  <w:noWrap w:val="0"/>
                  <w:vAlign w:val="center"/>
                </w:tcPr>
                <w:p>
                  <w:pPr>
                    <w:jc w:val="center"/>
                    <w:rPr>
                      <w:sz w:val="18"/>
                      <w:szCs w:val="18"/>
                    </w:rPr>
                  </w:pPr>
                </w:p>
              </w:tc>
              <w:tc>
                <w:tcPr>
                  <w:tcW w:w="720" w:type="dxa"/>
                  <w:vMerge w:val="continue"/>
                  <w:noWrap w:val="0"/>
                  <w:vAlign w:val="center"/>
                </w:tcPr>
                <w:p>
                  <w:pPr>
                    <w:jc w:val="center"/>
                    <w:rPr>
                      <w:sz w:val="18"/>
                      <w:szCs w:val="18"/>
                    </w:rPr>
                  </w:pPr>
                </w:p>
              </w:tc>
              <w:tc>
                <w:tcPr>
                  <w:tcW w:w="705" w:type="dxa"/>
                  <w:noWrap w:val="0"/>
                  <w:vAlign w:val="center"/>
                </w:tcPr>
                <w:p>
                  <w:pPr>
                    <w:jc w:val="center"/>
                    <w:rPr>
                      <w:sz w:val="18"/>
                      <w:szCs w:val="18"/>
                    </w:rPr>
                  </w:pPr>
                  <w:r>
                    <w:rPr>
                      <w:rFonts w:hint="eastAsia"/>
                      <w:sz w:val="18"/>
                      <w:szCs w:val="18"/>
                    </w:rPr>
                    <w:t>80</w:t>
                  </w:r>
                  <w:r>
                    <w:rPr>
                      <w:sz w:val="18"/>
                      <w:szCs w:val="18"/>
                    </w:rPr>
                    <w:t>倍</w:t>
                  </w:r>
                </w:p>
              </w:tc>
              <w:tc>
                <w:tcPr>
                  <w:tcW w:w="1020" w:type="dxa"/>
                  <w:vMerge w:val="continue"/>
                  <w:noWrap w:val="0"/>
                  <w:vAlign w:val="center"/>
                </w:tcPr>
                <w:p>
                  <w:pPr>
                    <w:jc w:val="center"/>
                    <w:rPr>
                      <w:sz w:val="18"/>
                      <w:szCs w:val="18"/>
                    </w:rPr>
                  </w:pPr>
                </w:p>
              </w:tc>
              <w:tc>
                <w:tcPr>
                  <w:tcW w:w="465" w:type="dxa"/>
                  <w:vMerge w:val="continue"/>
                  <w:noWrap w:val="0"/>
                  <w:vAlign w:val="center"/>
                </w:tcPr>
                <w:p>
                  <w:pPr>
                    <w:jc w:val="center"/>
                    <w:rPr>
                      <w:sz w:val="18"/>
                      <w:szCs w:val="18"/>
                    </w:rPr>
                  </w:pPr>
                </w:p>
              </w:tc>
              <w:tc>
                <w:tcPr>
                  <w:tcW w:w="375" w:type="dxa"/>
                  <w:vMerge w:val="continue"/>
                  <w:noWrap w:val="0"/>
                  <w:vAlign w:val="center"/>
                </w:tcPr>
                <w:p>
                  <w:pPr>
                    <w:jc w:val="center"/>
                    <w:rPr>
                      <w:sz w:val="18"/>
                      <w:szCs w:val="18"/>
                    </w:rPr>
                  </w:pPr>
                </w:p>
              </w:tc>
              <w:tc>
                <w:tcPr>
                  <w:tcW w:w="648" w:type="dxa"/>
                  <w:vMerge w:val="continue"/>
                  <w:noWrap w:val="0"/>
                  <w:vAlign w:val="center"/>
                </w:tcPr>
                <w:p>
                  <w:pPr>
                    <w:jc w:val="center"/>
                    <w:rPr>
                      <w:sz w:val="18"/>
                      <w:szCs w:val="18"/>
                    </w:rPr>
                  </w:pPr>
                </w:p>
              </w:tc>
            </w:tr>
          </w:tbl>
          <w:p>
            <w:pPr>
              <w:adjustRightInd w:val="0"/>
              <w:spacing w:line="500" w:lineRule="exact"/>
              <w:ind w:firstLine="422"/>
              <w:jc w:val="both"/>
              <w:rPr>
                <w:rFonts w:hint="eastAsia"/>
                <w:bCs/>
                <w:color w:val="auto"/>
                <w:szCs w:val="21"/>
                <w:highlight w:val="none"/>
                <w:lang w:val="en-US" w:eastAsia="zh-CN"/>
              </w:rPr>
            </w:pPr>
            <w:r>
              <w:rPr>
                <w:rFonts w:hint="eastAsia"/>
                <w:bCs/>
                <w:color w:val="auto"/>
                <w:szCs w:val="21"/>
                <w:highlight w:val="none"/>
                <w:lang w:val="en-US" w:eastAsia="zh-CN"/>
              </w:rPr>
              <w:t>技改项目完成后，全厂废水污染物排放源强情况见表4-9</w:t>
            </w:r>
          </w:p>
          <w:p>
            <w:pPr>
              <w:adjustRightInd w:val="0"/>
              <w:spacing w:line="500" w:lineRule="exact"/>
              <w:ind w:firstLine="422"/>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表4-</w:t>
            </w:r>
            <w:r>
              <w:rPr>
                <w:rFonts w:hint="eastAsia" w:ascii="Times New Roman" w:hAnsi="Times New Roman" w:eastAsia="宋体" w:cs="Times New Roman"/>
                <w:b/>
                <w:bCs/>
                <w:color w:val="auto"/>
                <w:highlight w:val="none"/>
                <w:lang w:val="en-US" w:eastAsia="zh-CN"/>
              </w:rPr>
              <w:t>9</w:t>
            </w:r>
            <w:r>
              <w:rPr>
                <w:rFonts w:hint="default" w:ascii="Times New Roman" w:hAnsi="Times New Roman" w:eastAsia="宋体" w:cs="Times New Roman"/>
                <w:b/>
                <w:bCs/>
                <w:color w:val="auto"/>
                <w:highlight w:val="none"/>
              </w:rPr>
              <w:t xml:space="preserve"> </w:t>
            </w:r>
            <w:r>
              <w:rPr>
                <w:rFonts w:hint="eastAsia" w:ascii="Times New Roman" w:hAnsi="Times New Roman" w:eastAsia="宋体" w:cs="Times New Roman"/>
                <w:b/>
                <w:bCs/>
                <w:color w:val="auto"/>
                <w:highlight w:val="none"/>
                <w:lang w:eastAsia="zh-CN"/>
              </w:rPr>
              <w:t>全厂</w:t>
            </w:r>
            <w:r>
              <w:rPr>
                <w:rFonts w:hint="default" w:ascii="Times New Roman" w:hAnsi="Times New Roman" w:eastAsia="宋体" w:cs="Times New Roman"/>
                <w:b/>
                <w:bCs/>
                <w:color w:val="auto"/>
                <w:highlight w:val="none"/>
              </w:rPr>
              <w:t>废水污染物排放信息表</w:t>
            </w:r>
          </w:p>
          <w:tbl>
            <w:tblPr>
              <w:tblStyle w:val="11"/>
              <w:tblW w:w="79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276"/>
              <w:gridCol w:w="1417"/>
              <w:gridCol w:w="1584"/>
              <w:gridCol w:w="1591"/>
              <w:gridCol w:w="1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6" w:hRule="atLeast"/>
                <w:jc w:val="center"/>
              </w:trPr>
              <w:tc>
                <w:tcPr>
                  <w:tcW w:w="1026" w:type="dxa"/>
                  <w:vMerge w:val="restart"/>
                  <w:noWrap w:val="0"/>
                  <w:vAlign w:val="center"/>
                </w:tcPr>
                <w:p>
                  <w:pPr>
                    <w:jc w:val="center"/>
                    <w:rPr>
                      <w:b/>
                      <w:bCs/>
                      <w:color w:val="auto"/>
                      <w:sz w:val="18"/>
                      <w:szCs w:val="18"/>
                      <w:highlight w:val="none"/>
                    </w:rPr>
                  </w:pPr>
                  <w:r>
                    <w:rPr>
                      <w:b/>
                      <w:bCs/>
                      <w:color w:val="auto"/>
                      <w:sz w:val="18"/>
                      <w:szCs w:val="18"/>
                      <w:highlight w:val="none"/>
                    </w:rPr>
                    <w:t>类别</w:t>
                  </w:r>
                </w:p>
              </w:tc>
              <w:tc>
                <w:tcPr>
                  <w:tcW w:w="1276" w:type="dxa"/>
                  <w:vMerge w:val="restart"/>
                  <w:noWrap w:val="0"/>
                  <w:vAlign w:val="center"/>
                </w:tcPr>
                <w:p>
                  <w:pPr>
                    <w:jc w:val="center"/>
                    <w:rPr>
                      <w:b/>
                      <w:bCs/>
                      <w:color w:val="auto"/>
                      <w:sz w:val="18"/>
                      <w:szCs w:val="18"/>
                      <w:highlight w:val="none"/>
                    </w:rPr>
                  </w:pPr>
                  <w:r>
                    <w:rPr>
                      <w:b/>
                      <w:bCs/>
                      <w:color w:val="auto"/>
                      <w:sz w:val="18"/>
                      <w:szCs w:val="18"/>
                      <w:highlight w:val="none"/>
                    </w:rPr>
                    <w:t>废水量</w:t>
                  </w:r>
                  <w:r>
                    <w:rPr>
                      <w:rFonts w:hint="eastAsia"/>
                      <w:b/>
                      <w:bCs/>
                      <w:color w:val="auto"/>
                      <w:sz w:val="18"/>
                      <w:szCs w:val="18"/>
                      <w:highlight w:val="none"/>
                    </w:rPr>
                    <w:t>（t/a）</w:t>
                  </w:r>
                </w:p>
              </w:tc>
              <w:tc>
                <w:tcPr>
                  <w:tcW w:w="1417" w:type="dxa"/>
                  <w:vMerge w:val="restart"/>
                  <w:noWrap w:val="0"/>
                  <w:vAlign w:val="center"/>
                </w:tcPr>
                <w:p>
                  <w:pPr>
                    <w:jc w:val="center"/>
                    <w:rPr>
                      <w:b/>
                      <w:bCs/>
                      <w:color w:val="auto"/>
                      <w:sz w:val="18"/>
                      <w:szCs w:val="18"/>
                      <w:highlight w:val="none"/>
                    </w:rPr>
                  </w:pPr>
                  <w:r>
                    <w:rPr>
                      <w:b/>
                      <w:bCs/>
                      <w:color w:val="auto"/>
                      <w:sz w:val="18"/>
                      <w:szCs w:val="18"/>
                      <w:highlight w:val="none"/>
                    </w:rPr>
                    <w:t>污染物名称</w:t>
                  </w:r>
                </w:p>
              </w:tc>
              <w:tc>
                <w:tcPr>
                  <w:tcW w:w="3175" w:type="dxa"/>
                  <w:gridSpan w:val="2"/>
                  <w:noWrap w:val="0"/>
                  <w:vAlign w:val="center"/>
                </w:tcPr>
                <w:p>
                  <w:pPr>
                    <w:jc w:val="center"/>
                    <w:rPr>
                      <w:b/>
                      <w:bCs/>
                      <w:color w:val="auto"/>
                      <w:sz w:val="18"/>
                      <w:szCs w:val="18"/>
                      <w:highlight w:val="none"/>
                    </w:rPr>
                  </w:pPr>
                  <w:r>
                    <w:rPr>
                      <w:b/>
                      <w:bCs/>
                      <w:color w:val="auto"/>
                      <w:sz w:val="18"/>
                      <w:szCs w:val="18"/>
                      <w:highlight w:val="none"/>
                    </w:rPr>
                    <w:t>污染物排放量</w:t>
                  </w:r>
                </w:p>
              </w:tc>
              <w:tc>
                <w:tcPr>
                  <w:tcW w:w="1061" w:type="dxa"/>
                  <w:vMerge w:val="restart"/>
                  <w:noWrap w:val="0"/>
                  <w:vAlign w:val="center"/>
                </w:tcPr>
                <w:p>
                  <w:pPr>
                    <w:jc w:val="center"/>
                    <w:rPr>
                      <w:color w:val="auto"/>
                      <w:sz w:val="18"/>
                      <w:szCs w:val="18"/>
                      <w:highlight w:val="none"/>
                    </w:rPr>
                  </w:pPr>
                  <w:r>
                    <w:rPr>
                      <w:rFonts w:hint="eastAsia"/>
                      <w:b/>
                      <w:bCs/>
                      <w:color w:val="auto"/>
                      <w:sz w:val="18"/>
                      <w:szCs w:val="18"/>
                      <w:highlight w:val="none"/>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6" w:type="dxa"/>
                  <w:vMerge w:val="continue"/>
                  <w:noWrap w:val="0"/>
                  <w:vAlign w:val="center"/>
                </w:tcPr>
                <w:p>
                  <w:pPr>
                    <w:jc w:val="center"/>
                    <w:rPr>
                      <w:b/>
                      <w:bCs/>
                      <w:color w:val="auto"/>
                      <w:sz w:val="18"/>
                      <w:szCs w:val="18"/>
                      <w:highlight w:val="none"/>
                    </w:rPr>
                  </w:pPr>
                </w:p>
              </w:tc>
              <w:tc>
                <w:tcPr>
                  <w:tcW w:w="1276" w:type="dxa"/>
                  <w:vMerge w:val="continue"/>
                  <w:noWrap w:val="0"/>
                  <w:vAlign w:val="center"/>
                </w:tcPr>
                <w:p>
                  <w:pPr>
                    <w:jc w:val="center"/>
                    <w:rPr>
                      <w:b/>
                      <w:bCs/>
                      <w:color w:val="auto"/>
                      <w:sz w:val="18"/>
                      <w:szCs w:val="18"/>
                      <w:highlight w:val="none"/>
                    </w:rPr>
                  </w:pPr>
                </w:p>
              </w:tc>
              <w:tc>
                <w:tcPr>
                  <w:tcW w:w="1417" w:type="dxa"/>
                  <w:vMerge w:val="continue"/>
                  <w:noWrap w:val="0"/>
                  <w:vAlign w:val="center"/>
                </w:tcPr>
                <w:p>
                  <w:pPr>
                    <w:jc w:val="center"/>
                    <w:rPr>
                      <w:b/>
                      <w:bCs/>
                      <w:color w:val="auto"/>
                      <w:sz w:val="18"/>
                      <w:szCs w:val="18"/>
                      <w:highlight w:val="none"/>
                    </w:rPr>
                  </w:pPr>
                </w:p>
              </w:tc>
              <w:tc>
                <w:tcPr>
                  <w:tcW w:w="1584" w:type="dxa"/>
                  <w:noWrap w:val="0"/>
                  <w:vAlign w:val="center"/>
                </w:tcPr>
                <w:p>
                  <w:pPr>
                    <w:jc w:val="center"/>
                    <w:rPr>
                      <w:b/>
                      <w:bCs/>
                      <w:color w:val="auto"/>
                      <w:sz w:val="18"/>
                      <w:szCs w:val="18"/>
                      <w:highlight w:val="none"/>
                    </w:rPr>
                  </w:pPr>
                  <w:r>
                    <w:rPr>
                      <w:b/>
                      <w:bCs/>
                      <w:color w:val="auto"/>
                      <w:sz w:val="18"/>
                      <w:szCs w:val="18"/>
                      <w:highlight w:val="none"/>
                    </w:rPr>
                    <w:t>排放浓度</w:t>
                  </w:r>
                  <w:r>
                    <w:rPr>
                      <w:rFonts w:hint="eastAsia"/>
                      <w:b/>
                      <w:bCs/>
                      <w:color w:val="auto"/>
                      <w:sz w:val="18"/>
                      <w:szCs w:val="18"/>
                      <w:highlight w:val="none"/>
                    </w:rPr>
                    <w:t>（mg/L）</w:t>
                  </w:r>
                </w:p>
              </w:tc>
              <w:tc>
                <w:tcPr>
                  <w:tcW w:w="1591" w:type="dxa"/>
                  <w:noWrap w:val="0"/>
                  <w:vAlign w:val="center"/>
                </w:tcPr>
                <w:p>
                  <w:pPr>
                    <w:jc w:val="center"/>
                    <w:rPr>
                      <w:b/>
                      <w:bCs/>
                      <w:color w:val="auto"/>
                      <w:sz w:val="18"/>
                      <w:szCs w:val="18"/>
                      <w:highlight w:val="none"/>
                    </w:rPr>
                  </w:pPr>
                  <w:r>
                    <w:rPr>
                      <w:b/>
                      <w:bCs/>
                      <w:color w:val="auto"/>
                      <w:sz w:val="18"/>
                      <w:szCs w:val="18"/>
                      <w:highlight w:val="none"/>
                    </w:rPr>
                    <w:t>排放量</w:t>
                  </w:r>
                  <w:r>
                    <w:rPr>
                      <w:rFonts w:hint="eastAsia"/>
                      <w:b/>
                      <w:bCs/>
                      <w:color w:val="auto"/>
                      <w:sz w:val="18"/>
                      <w:szCs w:val="18"/>
                      <w:highlight w:val="none"/>
                    </w:rPr>
                    <w:t>（t/a）</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6" w:type="dxa"/>
                  <w:vMerge w:val="restart"/>
                  <w:noWrap w:val="0"/>
                  <w:vAlign w:val="center"/>
                </w:tcPr>
                <w:p>
                  <w:pPr>
                    <w:jc w:val="center"/>
                    <w:rPr>
                      <w:color w:val="auto"/>
                      <w:sz w:val="18"/>
                      <w:szCs w:val="18"/>
                      <w:highlight w:val="none"/>
                    </w:rPr>
                  </w:pPr>
                  <w:r>
                    <w:rPr>
                      <w:rFonts w:hint="eastAsia"/>
                      <w:color w:val="auto"/>
                      <w:sz w:val="18"/>
                      <w:szCs w:val="18"/>
                      <w:highlight w:val="none"/>
                      <w:lang w:val="en-US" w:eastAsia="zh-CN"/>
                    </w:rPr>
                    <w:t>生活污水</w:t>
                  </w:r>
                </w:p>
              </w:tc>
              <w:tc>
                <w:tcPr>
                  <w:tcW w:w="1276" w:type="dxa"/>
                  <w:vMerge w:val="restar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2160</w:t>
                  </w:r>
                </w:p>
              </w:tc>
              <w:tc>
                <w:tcPr>
                  <w:tcW w:w="1417" w:type="dxa"/>
                  <w:noWrap w:val="0"/>
                  <w:vAlign w:val="center"/>
                </w:tcPr>
                <w:p>
                  <w:pPr>
                    <w:jc w:val="center"/>
                    <w:rPr>
                      <w:color w:val="auto"/>
                      <w:sz w:val="18"/>
                      <w:szCs w:val="18"/>
                      <w:highlight w:val="none"/>
                    </w:rPr>
                  </w:pPr>
                  <w:r>
                    <w:rPr>
                      <w:color w:val="auto"/>
                      <w:sz w:val="18"/>
                      <w:szCs w:val="18"/>
                      <w:highlight w:val="none"/>
                    </w:rPr>
                    <w:t>COD</w:t>
                  </w:r>
                </w:p>
              </w:tc>
              <w:tc>
                <w:tcPr>
                  <w:tcW w:w="1584" w:type="dxa"/>
                  <w:noWrap w:val="0"/>
                  <w:vAlign w:val="center"/>
                </w:tcPr>
                <w:p>
                  <w:pPr>
                    <w:jc w:val="center"/>
                    <w:textAlignment w:val="center"/>
                    <w:rPr>
                      <w:rFonts w:hint="default" w:ascii="Times New Roman" w:hAnsi="Times New Roman" w:eastAsia="宋体" w:cs="Times New Roman"/>
                      <w:color w:val="auto"/>
                      <w:sz w:val="18"/>
                      <w:szCs w:val="18"/>
                      <w:highlight w:val="none"/>
                      <w:lang w:val="en-US" w:eastAsia="zh-CN"/>
                    </w:rPr>
                  </w:pPr>
                  <w:r>
                    <w:rPr>
                      <w:rFonts w:ascii="Times New Roman" w:hAnsi="Times New Roman" w:eastAsia="宋体" w:cs="Times New Roman"/>
                      <w:kern w:val="0"/>
                      <w:sz w:val="18"/>
                      <w:szCs w:val="18"/>
                      <w:lang w:bidi="ar"/>
                    </w:rPr>
                    <w:t>300</w:t>
                  </w:r>
                </w:p>
              </w:tc>
              <w:tc>
                <w:tcPr>
                  <w:tcW w:w="1591"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0.6480 </w:t>
                  </w:r>
                </w:p>
              </w:tc>
              <w:tc>
                <w:tcPr>
                  <w:tcW w:w="1061" w:type="dxa"/>
                  <w:vMerge w:val="restart"/>
                  <w:noWrap w:val="0"/>
                  <w:vAlign w:val="center"/>
                </w:tcPr>
                <w:p>
                  <w:pPr>
                    <w:jc w:val="both"/>
                    <w:rPr>
                      <w:rFonts w:hint="default" w:eastAsia="宋体"/>
                      <w:color w:val="auto"/>
                      <w:sz w:val="18"/>
                      <w:szCs w:val="18"/>
                      <w:highlight w:val="none"/>
                      <w:lang w:val="en-US" w:eastAsia="zh-CN"/>
                    </w:rPr>
                  </w:pPr>
                  <w:r>
                    <w:rPr>
                      <w:rFonts w:hint="eastAsia"/>
                      <w:color w:val="auto"/>
                      <w:sz w:val="18"/>
                      <w:szCs w:val="18"/>
                      <w:highlight w:val="none"/>
                      <w:lang w:val="en-US" w:eastAsia="zh-CN"/>
                    </w:rPr>
                    <w:t>启东城市污水处理厂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default" w:eastAsia="宋体"/>
                      <w:color w:val="auto"/>
                      <w:sz w:val="18"/>
                      <w:szCs w:val="18"/>
                      <w:highlight w:val="none"/>
                      <w:lang w:val="en-US" w:eastAsia="zh-CN"/>
                    </w:rPr>
                  </w:pPr>
                  <w:r>
                    <w:rPr>
                      <w:color w:val="auto"/>
                      <w:sz w:val="18"/>
                      <w:szCs w:val="18"/>
                      <w:highlight w:val="none"/>
                    </w:rPr>
                    <w:t>SS</w:t>
                  </w:r>
                </w:p>
              </w:tc>
              <w:tc>
                <w:tcPr>
                  <w:tcW w:w="1584" w:type="dxa"/>
                  <w:noWrap w:val="0"/>
                  <w:vAlign w:val="center"/>
                </w:tcPr>
                <w:p>
                  <w:pPr>
                    <w:jc w:val="center"/>
                    <w:textAlignment w:val="center"/>
                    <w:rPr>
                      <w:rFonts w:hint="default" w:ascii="Times New Roman" w:hAnsi="Times New Roman" w:eastAsia="宋体" w:cs="Times New Roman"/>
                      <w:color w:val="auto"/>
                      <w:sz w:val="18"/>
                      <w:szCs w:val="18"/>
                      <w:highlight w:val="none"/>
                      <w:lang w:val="en-US" w:eastAsia="zh-CN"/>
                    </w:rPr>
                  </w:pPr>
                  <w:r>
                    <w:rPr>
                      <w:rFonts w:ascii="Times New Roman" w:hAnsi="Times New Roman" w:eastAsia="宋体" w:cs="Times New Roman"/>
                      <w:kern w:val="0"/>
                      <w:sz w:val="18"/>
                      <w:szCs w:val="18"/>
                      <w:lang w:bidi="ar"/>
                    </w:rPr>
                    <w:t>150</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0.3240 </w:t>
                  </w:r>
                </w:p>
              </w:tc>
              <w:tc>
                <w:tcPr>
                  <w:tcW w:w="1061" w:type="dxa"/>
                  <w:vMerge w:val="continue"/>
                  <w:noWrap w:val="0"/>
                  <w:vAlign w:val="center"/>
                </w:tcPr>
                <w:p>
                  <w:pPr>
                    <w:jc w:val="both"/>
                    <w:rPr>
                      <w:rFonts w:hint="eastAsia"/>
                      <w:color w:val="auto"/>
                      <w:sz w:val="18"/>
                      <w:szCs w:val="18"/>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6" w:type="dxa"/>
                  <w:vMerge w:val="continue"/>
                  <w:noWrap w:val="0"/>
                  <w:vAlign w:val="center"/>
                </w:tcPr>
                <w:p>
                  <w:pPr>
                    <w:jc w:val="center"/>
                    <w:rPr>
                      <w:color w:val="auto"/>
                      <w:sz w:val="18"/>
                      <w:szCs w:val="18"/>
                      <w:highlight w:val="none"/>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color w:val="auto"/>
                      <w:sz w:val="18"/>
                      <w:szCs w:val="18"/>
                      <w:highlight w:val="none"/>
                    </w:rPr>
                  </w:pPr>
                  <w:r>
                    <w:rPr>
                      <w:color w:val="auto"/>
                      <w:sz w:val="18"/>
                      <w:szCs w:val="18"/>
                      <w:highlight w:val="none"/>
                    </w:rPr>
                    <w:t>NH</w:t>
                  </w:r>
                  <w:r>
                    <w:rPr>
                      <w:color w:val="auto"/>
                      <w:sz w:val="18"/>
                      <w:szCs w:val="18"/>
                      <w:highlight w:val="none"/>
                      <w:vertAlign w:val="subscript"/>
                    </w:rPr>
                    <w:t>3</w:t>
                  </w:r>
                  <w:r>
                    <w:rPr>
                      <w:color w:val="auto"/>
                      <w:sz w:val="18"/>
                      <w:szCs w:val="18"/>
                      <w:highlight w:val="none"/>
                    </w:rPr>
                    <w:t>-N</w:t>
                  </w:r>
                </w:p>
              </w:tc>
              <w:tc>
                <w:tcPr>
                  <w:tcW w:w="1584" w:type="dxa"/>
                  <w:noWrap w:val="0"/>
                  <w:vAlign w:val="center"/>
                </w:tcPr>
                <w:p>
                  <w:pPr>
                    <w:jc w:val="center"/>
                    <w:textAlignment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kern w:val="0"/>
                      <w:sz w:val="18"/>
                      <w:szCs w:val="18"/>
                      <w:lang w:val="en-US" w:eastAsia="zh-CN" w:bidi="ar"/>
                    </w:rPr>
                    <w:t>25</w:t>
                  </w:r>
                </w:p>
              </w:tc>
              <w:tc>
                <w:tcPr>
                  <w:tcW w:w="1591"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0.0540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6" w:type="dxa"/>
                  <w:vMerge w:val="continue"/>
                  <w:noWrap w:val="0"/>
                  <w:vAlign w:val="center"/>
                </w:tcPr>
                <w:p>
                  <w:pPr>
                    <w:jc w:val="center"/>
                    <w:rPr>
                      <w:color w:val="auto"/>
                      <w:sz w:val="18"/>
                      <w:szCs w:val="18"/>
                      <w:highlight w:val="none"/>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TP</w:t>
                  </w:r>
                </w:p>
              </w:tc>
              <w:tc>
                <w:tcPr>
                  <w:tcW w:w="1584" w:type="dxa"/>
                  <w:noWrap w:val="0"/>
                  <w:vAlign w:val="center"/>
                </w:tcPr>
                <w:p>
                  <w:pPr>
                    <w:jc w:val="center"/>
                    <w:textAlignment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kern w:val="0"/>
                      <w:sz w:val="18"/>
                      <w:szCs w:val="18"/>
                      <w:lang w:val="en-US" w:eastAsia="zh-CN" w:bidi="ar"/>
                    </w:rPr>
                    <w:t>0.5</w:t>
                  </w:r>
                </w:p>
              </w:tc>
              <w:tc>
                <w:tcPr>
                  <w:tcW w:w="1591"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0.0011</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6" w:type="dxa"/>
                  <w:vMerge w:val="continue"/>
                  <w:noWrap w:val="0"/>
                  <w:vAlign w:val="center"/>
                </w:tcPr>
                <w:p>
                  <w:pPr>
                    <w:jc w:val="center"/>
                    <w:rPr>
                      <w:color w:val="auto"/>
                      <w:sz w:val="18"/>
                      <w:szCs w:val="18"/>
                      <w:highlight w:val="none"/>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color w:val="auto"/>
                      <w:sz w:val="18"/>
                      <w:szCs w:val="18"/>
                      <w:highlight w:val="none"/>
                    </w:rPr>
                  </w:pPr>
                  <w:r>
                    <w:rPr>
                      <w:rFonts w:hint="eastAsia"/>
                      <w:color w:val="auto"/>
                      <w:sz w:val="18"/>
                      <w:szCs w:val="18"/>
                      <w:highlight w:val="none"/>
                    </w:rPr>
                    <w:t>TN</w:t>
                  </w:r>
                </w:p>
              </w:tc>
              <w:tc>
                <w:tcPr>
                  <w:tcW w:w="1584" w:type="dxa"/>
                  <w:noWrap w:val="0"/>
                  <w:vAlign w:val="center"/>
                </w:tcPr>
                <w:p>
                  <w:pPr>
                    <w:jc w:val="center"/>
                    <w:textAlignment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kern w:val="0"/>
                      <w:sz w:val="18"/>
                      <w:szCs w:val="18"/>
                      <w:lang w:val="en-US" w:eastAsia="zh-CN" w:bidi="ar"/>
                    </w:rPr>
                    <w:t>30</w:t>
                  </w:r>
                </w:p>
              </w:tc>
              <w:tc>
                <w:tcPr>
                  <w:tcW w:w="1591"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0.0648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color w:val="auto"/>
                      <w:sz w:val="18"/>
                      <w:szCs w:val="18"/>
                      <w:highlight w:val="none"/>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rFonts w:hint="eastAsia" w:eastAsia="宋体"/>
                      <w:color w:val="auto"/>
                      <w:sz w:val="18"/>
                      <w:szCs w:val="18"/>
                      <w:highlight w:val="none"/>
                      <w:lang w:eastAsia="zh-CN"/>
                    </w:rPr>
                  </w:pPr>
                  <w:r>
                    <w:rPr>
                      <w:rFonts w:hint="eastAsia"/>
                      <w:color w:val="auto"/>
                      <w:sz w:val="18"/>
                      <w:szCs w:val="18"/>
                      <w:highlight w:val="none"/>
                      <w:lang w:eastAsia="zh-CN"/>
                    </w:rPr>
                    <w:t>动植物油</w:t>
                  </w:r>
                </w:p>
              </w:tc>
              <w:tc>
                <w:tcPr>
                  <w:tcW w:w="1584"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0.4</w:t>
                  </w:r>
                </w:p>
              </w:tc>
              <w:tc>
                <w:tcPr>
                  <w:tcW w:w="1591"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0.001</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restart"/>
                  <w:noWrap w:val="0"/>
                  <w:vAlign w:val="center"/>
                </w:tcPr>
                <w:p>
                  <w:pPr>
                    <w:jc w:val="center"/>
                    <w:rPr>
                      <w:rFonts w:hint="eastAsia" w:eastAsia="宋体"/>
                      <w:color w:val="auto"/>
                      <w:sz w:val="18"/>
                      <w:szCs w:val="18"/>
                      <w:highlight w:val="none"/>
                      <w:lang w:eastAsia="zh-CN"/>
                    </w:rPr>
                  </w:pPr>
                  <w:r>
                    <w:rPr>
                      <w:rFonts w:hint="eastAsia"/>
                      <w:color w:val="auto"/>
                      <w:sz w:val="18"/>
                      <w:szCs w:val="18"/>
                      <w:highlight w:val="none"/>
                      <w:lang w:eastAsia="zh-CN"/>
                    </w:rPr>
                    <w:t>地面冲洗废水</w:t>
                  </w:r>
                </w:p>
              </w:tc>
              <w:tc>
                <w:tcPr>
                  <w:tcW w:w="1276" w:type="dxa"/>
                  <w:vMerge w:val="restar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335</w:t>
                  </w:r>
                </w:p>
              </w:tc>
              <w:tc>
                <w:tcPr>
                  <w:tcW w:w="1417" w:type="dxa"/>
                  <w:noWrap w:val="0"/>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COD</w:t>
                  </w:r>
                </w:p>
              </w:tc>
              <w:tc>
                <w:tcPr>
                  <w:tcW w:w="1584"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186</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0.0623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SS</w:t>
                  </w:r>
                </w:p>
              </w:tc>
              <w:tc>
                <w:tcPr>
                  <w:tcW w:w="1584"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89</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0.0298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eastAsia"/>
                      <w:color w:val="auto"/>
                      <w:sz w:val="18"/>
                      <w:szCs w:val="18"/>
                      <w:highlight w:val="none"/>
                      <w:lang w:val="en-US" w:eastAsia="zh-CN"/>
                    </w:rPr>
                  </w:pPr>
                  <w:r>
                    <w:rPr>
                      <w:color w:val="auto"/>
                      <w:sz w:val="18"/>
                      <w:szCs w:val="18"/>
                      <w:highlight w:val="none"/>
                    </w:rPr>
                    <w:t>NH</w:t>
                  </w:r>
                  <w:r>
                    <w:rPr>
                      <w:color w:val="auto"/>
                      <w:sz w:val="18"/>
                      <w:szCs w:val="18"/>
                      <w:highlight w:val="none"/>
                      <w:vertAlign w:val="subscript"/>
                    </w:rPr>
                    <w:t>3</w:t>
                  </w:r>
                  <w:r>
                    <w:rPr>
                      <w:color w:val="auto"/>
                      <w:sz w:val="18"/>
                      <w:szCs w:val="18"/>
                      <w:highlight w:val="none"/>
                    </w:rPr>
                    <w:t>-N</w:t>
                  </w:r>
                </w:p>
              </w:tc>
              <w:tc>
                <w:tcPr>
                  <w:tcW w:w="1584"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18</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0.0060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TN</w:t>
                  </w:r>
                </w:p>
              </w:tc>
              <w:tc>
                <w:tcPr>
                  <w:tcW w:w="1584"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25</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0.0084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LAS</w:t>
                  </w:r>
                </w:p>
              </w:tc>
              <w:tc>
                <w:tcPr>
                  <w:tcW w:w="1584"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10.9</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0.0037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restart"/>
                  <w:noWrap w:val="0"/>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初期雨水</w:t>
                  </w:r>
                </w:p>
              </w:tc>
              <w:tc>
                <w:tcPr>
                  <w:tcW w:w="1276" w:type="dxa"/>
                  <w:vMerge w:val="restar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257</w:t>
                  </w:r>
                </w:p>
              </w:tc>
              <w:tc>
                <w:tcPr>
                  <w:tcW w:w="1417" w:type="dxa"/>
                  <w:noWrap w:val="0"/>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COD</w:t>
                  </w:r>
                </w:p>
              </w:tc>
              <w:tc>
                <w:tcPr>
                  <w:tcW w:w="1584"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80</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0.0206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eastAsia="zh-CN"/>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SS</w:t>
                  </w:r>
                </w:p>
              </w:tc>
              <w:tc>
                <w:tcPr>
                  <w:tcW w:w="1584"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100</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0.0257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26" w:type="dxa"/>
                  <w:vMerge w:val="restart"/>
                  <w:noWrap w:val="0"/>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本次技改项目废水</w:t>
                  </w:r>
                </w:p>
              </w:tc>
              <w:tc>
                <w:tcPr>
                  <w:tcW w:w="1276" w:type="dxa"/>
                  <w:vMerge w:val="restar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1601</w:t>
                  </w:r>
                </w:p>
              </w:tc>
              <w:tc>
                <w:tcPr>
                  <w:tcW w:w="1417"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COD</w:t>
                  </w:r>
                </w:p>
              </w:tc>
              <w:tc>
                <w:tcPr>
                  <w:tcW w:w="1584"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79.5</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0.1273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BOD</w:t>
                  </w:r>
                  <w:r>
                    <w:rPr>
                      <w:rFonts w:hint="eastAsia" w:ascii="Times New Roman" w:hAnsi="Times New Roman" w:eastAsia="宋体" w:cs="Times New Roman"/>
                      <w:kern w:val="0"/>
                      <w:sz w:val="18"/>
                      <w:szCs w:val="18"/>
                      <w:vertAlign w:val="subscript"/>
                    </w:rPr>
                    <w:t>5</w:t>
                  </w:r>
                </w:p>
              </w:tc>
              <w:tc>
                <w:tcPr>
                  <w:tcW w:w="1584"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12.35</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0.0198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SS</w:t>
                  </w:r>
                </w:p>
              </w:tc>
              <w:tc>
                <w:tcPr>
                  <w:tcW w:w="1584"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24.92</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0.0399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NH</w:t>
                  </w:r>
                  <w:r>
                    <w:rPr>
                      <w:rFonts w:hint="eastAsia" w:ascii="Times New Roman" w:hAnsi="Times New Roman" w:eastAsia="宋体" w:cs="Times New Roman"/>
                      <w:kern w:val="0"/>
                      <w:sz w:val="18"/>
                      <w:szCs w:val="18"/>
                      <w:vertAlign w:val="subscript"/>
                    </w:rPr>
                    <w:t>3</w:t>
                  </w:r>
                  <w:r>
                    <w:rPr>
                      <w:rFonts w:hint="eastAsia" w:ascii="Times New Roman" w:hAnsi="Times New Roman" w:eastAsia="宋体" w:cs="Times New Roman"/>
                      <w:kern w:val="0"/>
                      <w:sz w:val="18"/>
                      <w:szCs w:val="18"/>
                    </w:rPr>
                    <w:t>-N</w:t>
                  </w:r>
                </w:p>
              </w:tc>
              <w:tc>
                <w:tcPr>
                  <w:tcW w:w="1584"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0.4</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0.0006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TP</w:t>
                  </w:r>
                </w:p>
              </w:tc>
              <w:tc>
                <w:tcPr>
                  <w:tcW w:w="1584"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1.26</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0.0020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TN</w:t>
                  </w:r>
                </w:p>
              </w:tc>
              <w:tc>
                <w:tcPr>
                  <w:tcW w:w="1584"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14.74</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0.0236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color w:val="auto"/>
                      <w:sz w:val="18"/>
                      <w:szCs w:val="18"/>
                      <w:highlight w:val="none"/>
                    </w:rPr>
                  </w:pPr>
                </w:p>
              </w:tc>
              <w:tc>
                <w:tcPr>
                  <w:tcW w:w="1417"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LAS</w:t>
                  </w:r>
                </w:p>
              </w:tc>
              <w:tc>
                <w:tcPr>
                  <w:tcW w:w="1584" w:type="dxa"/>
                  <w:noWrap w:val="0"/>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1.77</w:t>
                  </w:r>
                </w:p>
              </w:tc>
              <w:tc>
                <w:tcPr>
                  <w:tcW w:w="1591"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 xml:space="preserve">0.0028 </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restart"/>
                  <w:noWrap w:val="0"/>
                  <w:vAlign w:val="center"/>
                </w:tcPr>
                <w:p>
                  <w:pPr>
                    <w:jc w:val="center"/>
                    <w:rPr>
                      <w:rFonts w:hint="eastAsia"/>
                      <w:color w:val="auto"/>
                      <w:sz w:val="18"/>
                      <w:szCs w:val="18"/>
                      <w:highlight w:val="none"/>
                      <w:lang w:val="en-US" w:eastAsia="zh-CN"/>
                    </w:rPr>
                  </w:pPr>
                  <w:r>
                    <w:rPr>
                      <w:rFonts w:hint="eastAsia"/>
                      <w:color w:val="auto"/>
                      <w:sz w:val="18"/>
                      <w:szCs w:val="18"/>
                      <w:highlight w:val="none"/>
                      <w:lang w:val="en-US" w:eastAsia="zh-CN"/>
                    </w:rPr>
                    <w:t>技改完成综合废水</w:t>
                  </w:r>
                </w:p>
              </w:tc>
              <w:tc>
                <w:tcPr>
                  <w:tcW w:w="1276" w:type="dxa"/>
                  <w:vMerge w:val="restar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4353</w:t>
                  </w:r>
                </w:p>
              </w:tc>
              <w:tc>
                <w:tcPr>
                  <w:tcW w:w="1417"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COD</w:t>
                  </w:r>
                </w:p>
              </w:tc>
              <w:tc>
                <w:tcPr>
                  <w:tcW w:w="1584" w:type="dxa"/>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189.32 </w:t>
                  </w:r>
                </w:p>
              </w:tc>
              <w:tc>
                <w:tcPr>
                  <w:tcW w:w="159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0.8582</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BOD</w:t>
                  </w:r>
                  <w:r>
                    <w:rPr>
                      <w:rFonts w:hint="eastAsia" w:ascii="Times New Roman" w:hAnsi="Times New Roman" w:eastAsia="宋体" w:cs="Times New Roman"/>
                      <w:kern w:val="0"/>
                      <w:sz w:val="18"/>
                      <w:szCs w:val="18"/>
                      <w:vertAlign w:val="subscript"/>
                    </w:rPr>
                    <w:t>5</w:t>
                  </w:r>
                </w:p>
              </w:tc>
              <w:tc>
                <w:tcPr>
                  <w:tcW w:w="1584" w:type="dxa"/>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4.37 </w:t>
                  </w:r>
                </w:p>
              </w:tc>
              <w:tc>
                <w:tcPr>
                  <w:tcW w:w="159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0.0198</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SS</w:t>
                  </w:r>
                </w:p>
              </w:tc>
              <w:tc>
                <w:tcPr>
                  <w:tcW w:w="1584" w:type="dxa"/>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92.52 </w:t>
                  </w:r>
                </w:p>
              </w:tc>
              <w:tc>
                <w:tcPr>
                  <w:tcW w:w="159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0.4194</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NH</w:t>
                  </w:r>
                  <w:r>
                    <w:rPr>
                      <w:rFonts w:hint="eastAsia" w:ascii="Times New Roman" w:hAnsi="Times New Roman" w:eastAsia="宋体" w:cs="Times New Roman"/>
                      <w:kern w:val="0"/>
                      <w:sz w:val="18"/>
                      <w:szCs w:val="18"/>
                      <w:vertAlign w:val="subscript"/>
                    </w:rPr>
                    <w:t>3</w:t>
                  </w:r>
                  <w:r>
                    <w:rPr>
                      <w:rFonts w:hint="eastAsia" w:ascii="Times New Roman" w:hAnsi="Times New Roman" w:eastAsia="宋体" w:cs="Times New Roman"/>
                      <w:kern w:val="0"/>
                      <w:sz w:val="18"/>
                      <w:szCs w:val="18"/>
                    </w:rPr>
                    <w:t>-N</w:t>
                  </w:r>
                </w:p>
              </w:tc>
              <w:tc>
                <w:tcPr>
                  <w:tcW w:w="1584" w:type="dxa"/>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13.37 </w:t>
                  </w:r>
                </w:p>
              </w:tc>
              <w:tc>
                <w:tcPr>
                  <w:tcW w:w="159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0.0606</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TP</w:t>
                  </w:r>
                </w:p>
              </w:tc>
              <w:tc>
                <w:tcPr>
                  <w:tcW w:w="1584" w:type="dxa"/>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0.68 </w:t>
                  </w:r>
                </w:p>
              </w:tc>
              <w:tc>
                <w:tcPr>
                  <w:tcW w:w="1591" w:type="dxa"/>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0.0031</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TN</w:t>
                  </w:r>
                </w:p>
              </w:tc>
              <w:tc>
                <w:tcPr>
                  <w:tcW w:w="1584" w:type="dxa"/>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21.35 </w:t>
                  </w:r>
                </w:p>
              </w:tc>
              <w:tc>
                <w:tcPr>
                  <w:tcW w:w="159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0.0968</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lang w:eastAsia="zh-CN"/>
                    </w:rPr>
                    <w:t>动植物油</w:t>
                  </w:r>
                </w:p>
              </w:tc>
              <w:tc>
                <w:tcPr>
                  <w:tcW w:w="1584" w:type="dxa"/>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0.22 </w:t>
                  </w:r>
                </w:p>
              </w:tc>
              <w:tc>
                <w:tcPr>
                  <w:tcW w:w="1591" w:type="dxa"/>
                  <w:noWrap w:val="0"/>
                  <w:vAlign w:val="center"/>
                </w:tcPr>
                <w:p>
                  <w:pPr>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0.001</w:t>
                  </w:r>
                </w:p>
              </w:tc>
              <w:tc>
                <w:tcPr>
                  <w:tcW w:w="1061" w:type="dxa"/>
                  <w:vMerge w:val="continue"/>
                  <w:noWrap w:val="0"/>
                  <w:vAlign w:val="center"/>
                </w:tcPr>
                <w:p>
                  <w:pPr>
                    <w:jc w:val="center"/>
                    <w:rPr>
                      <w:rFonts w:hint="eastAsia"/>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26" w:type="dxa"/>
                  <w:vMerge w:val="continue"/>
                  <w:noWrap w:val="0"/>
                  <w:vAlign w:val="center"/>
                </w:tcPr>
                <w:p>
                  <w:pPr>
                    <w:jc w:val="center"/>
                    <w:rPr>
                      <w:rFonts w:hint="eastAsia"/>
                      <w:color w:val="auto"/>
                      <w:sz w:val="18"/>
                      <w:szCs w:val="18"/>
                      <w:highlight w:val="none"/>
                      <w:lang w:val="en-US" w:eastAsia="zh-CN"/>
                    </w:rPr>
                  </w:pPr>
                </w:p>
              </w:tc>
              <w:tc>
                <w:tcPr>
                  <w:tcW w:w="1276" w:type="dxa"/>
                  <w:vMerge w:val="continue"/>
                  <w:noWrap w:val="0"/>
                  <w:vAlign w:val="center"/>
                </w:tcPr>
                <w:p>
                  <w:pPr>
                    <w:jc w:val="center"/>
                    <w:rPr>
                      <w:rFonts w:hint="eastAsia"/>
                      <w:color w:val="auto"/>
                      <w:sz w:val="18"/>
                      <w:szCs w:val="18"/>
                      <w:highlight w:val="none"/>
                      <w:lang w:val="en-US" w:eastAsia="zh-CN"/>
                    </w:rPr>
                  </w:pPr>
                </w:p>
              </w:tc>
              <w:tc>
                <w:tcPr>
                  <w:tcW w:w="1417" w:type="dxa"/>
                  <w:noWrap w:val="0"/>
                  <w:vAlign w:val="center"/>
                </w:tcPr>
                <w:p>
                  <w:pPr>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rPr>
                    <w:t>LAS</w:t>
                  </w:r>
                </w:p>
              </w:tc>
              <w:tc>
                <w:tcPr>
                  <w:tcW w:w="1584" w:type="dxa"/>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 xml:space="preserve">1.43 </w:t>
                  </w:r>
                </w:p>
              </w:tc>
              <w:tc>
                <w:tcPr>
                  <w:tcW w:w="1591" w:type="dxa"/>
                  <w:noWrap w:val="0"/>
                  <w:vAlign w:val="center"/>
                </w:tcPr>
                <w:p>
                  <w:pPr>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0.0065</w:t>
                  </w:r>
                </w:p>
              </w:tc>
              <w:tc>
                <w:tcPr>
                  <w:tcW w:w="1061" w:type="dxa"/>
                  <w:vMerge w:val="continue"/>
                  <w:noWrap w:val="0"/>
                  <w:vAlign w:val="center"/>
                </w:tcPr>
                <w:p>
                  <w:pPr>
                    <w:jc w:val="center"/>
                    <w:rPr>
                      <w:rFonts w:hint="eastAsia"/>
                      <w:color w:val="auto"/>
                      <w:sz w:val="18"/>
                      <w:szCs w:val="18"/>
                      <w:highlight w:val="none"/>
                    </w:rPr>
                  </w:pPr>
                </w:p>
              </w:tc>
            </w:tr>
          </w:tbl>
          <w:p>
            <w:pPr>
              <w:adjustRightInd w:val="0"/>
              <w:snapToGrid w:val="0"/>
              <w:spacing w:line="500" w:lineRule="exact"/>
              <w:rPr>
                <w:b/>
                <w:szCs w:val="21"/>
              </w:rPr>
            </w:pPr>
            <w:r>
              <w:rPr>
                <w:rFonts w:hint="eastAsia"/>
                <w:b/>
                <w:szCs w:val="21"/>
              </w:rPr>
              <w:t>自行监测计划：</w:t>
            </w:r>
          </w:p>
          <w:p>
            <w:pPr>
              <w:adjustRightInd w:val="0"/>
              <w:snapToGrid w:val="0"/>
              <w:spacing w:line="500" w:lineRule="exact"/>
              <w:ind w:firstLine="420" w:firstLineChars="200"/>
              <w:jc w:val="left"/>
              <w:rPr>
                <w:rFonts w:hint="eastAsia"/>
                <w:bCs/>
                <w:szCs w:val="21"/>
              </w:rPr>
            </w:pPr>
            <w:r>
              <w:rPr>
                <w:rFonts w:hint="eastAsia"/>
                <w:bCs/>
                <w:szCs w:val="21"/>
              </w:rPr>
              <w:t>根据《排污许可证申请与核发技术规范 总则》（HJ942-2018）、《排污单位自行监测技术指南 纺织印染工业》（HJ879-2017）、</w:t>
            </w:r>
            <w:r>
              <w:rPr>
                <w:rFonts w:hint="eastAsia"/>
                <w:kern w:val="0"/>
                <w:szCs w:val="21"/>
              </w:rPr>
              <w:t>《排污许可证申请与核发技术规范 纺织印染工业》（HJ861-2017）</w:t>
            </w:r>
            <w:r>
              <w:rPr>
                <w:rFonts w:hint="eastAsia"/>
                <w:bCs/>
                <w:szCs w:val="21"/>
              </w:rPr>
              <w:t>等相关标准的要求制定以下监测计划，具体见表4-</w:t>
            </w:r>
            <w:r>
              <w:rPr>
                <w:rFonts w:hint="eastAsia"/>
                <w:bCs/>
                <w:szCs w:val="21"/>
                <w:lang w:val="en-US" w:eastAsia="zh-CN"/>
              </w:rPr>
              <w:t>10</w:t>
            </w:r>
            <w:r>
              <w:rPr>
                <w:rFonts w:hint="eastAsia"/>
                <w:bCs/>
                <w:szCs w:val="21"/>
              </w:rPr>
              <w:t>。</w:t>
            </w:r>
          </w:p>
          <w:p>
            <w:pPr>
              <w:autoSpaceDE w:val="0"/>
              <w:autoSpaceDN w:val="0"/>
              <w:adjustRightInd w:val="0"/>
              <w:spacing w:line="500" w:lineRule="exact"/>
              <w:jc w:val="center"/>
              <w:rPr>
                <w:rFonts w:hint="eastAsia"/>
                <w:b/>
                <w:bCs/>
                <w:szCs w:val="21"/>
              </w:rPr>
            </w:pPr>
            <w:r>
              <w:rPr>
                <w:b/>
                <w:bCs/>
                <w:szCs w:val="21"/>
              </w:rPr>
              <w:t>表</w:t>
            </w:r>
            <w:r>
              <w:rPr>
                <w:rFonts w:hint="eastAsia"/>
                <w:b/>
                <w:bCs/>
                <w:szCs w:val="21"/>
              </w:rPr>
              <w:t>4-</w:t>
            </w:r>
            <w:r>
              <w:rPr>
                <w:rFonts w:hint="eastAsia"/>
                <w:b/>
                <w:bCs/>
                <w:szCs w:val="21"/>
                <w:lang w:val="en-US" w:eastAsia="zh-CN"/>
              </w:rPr>
              <w:t>10</w:t>
            </w:r>
            <w:r>
              <w:rPr>
                <w:b/>
                <w:bCs/>
                <w:szCs w:val="21"/>
              </w:rPr>
              <w:t xml:space="preserve">   废水污染物监测要求</w:t>
            </w:r>
          </w:p>
          <w:tbl>
            <w:tblPr>
              <w:tblStyle w:val="11"/>
              <w:tblW w:w="79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8"/>
              <w:gridCol w:w="2168"/>
              <w:gridCol w:w="21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6" w:hRule="atLeast"/>
                <w:jc w:val="center"/>
              </w:trPr>
              <w:tc>
                <w:tcPr>
                  <w:tcW w:w="1451" w:type="dxa"/>
                  <w:noWrap w:val="0"/>
                  <w:vAlign w:val="center"/>
                </w:tcPr>
                <w:p>
                  <w:pPr>
                    <w:jc w:val="center"/>
                    <w:rPr>
                      <w:sz w:val="18"/>
                      <w:szCs w:val="18"/>
                    </w:rPr>
                  </w:pPr>
                  <w:r>
                    <w:rPr>
                      <w:sz w:val="18"/>
                      <w:szCs w:val="18"/>
                    </w:rPr>
                    <w:t>监测点位</w:t>
                  </w:r>
                </w:p>
              </w:tc>
              <w:tc>
                <w:tcPr>
                  <w:tcW w:w="2168" w:type="dxa"/>
                  <w:noWrap w:val="0"/>
                  <w:vAlign w:val="center"/>
                </w:tcPr>
                <w:p>
                  <w:pPr>
                    <w:jc w:val="center"/>
                    <w:rPr>
                      <w:sz w:val="18"/>
                      <w:szCs w:val="18"/>
                    </w:rPr>
                  </w:pPr>
                  <w:r>
                    <w:rPr>
                      <w:sz w:val="18"/>
                      <w:szCs w:val="18"/>
                    </w:rPr>
                    <w:t>监测指标</w:t>
                  </w:r>
                </w:p>
              </w:tc>
              <w:tc>
                <w:tcPr>
                  <w:tcW w:w="2168" w:type="dxa"/>
                  <w:noWrap w:val="0"/>
                  <w:vAlign w:val="center"/>
                </w:tcPr>
                <w:p>
                  <w:pPr>
                    <w:jc w:val="center"/>
                    <w:rPr>
                      <w:sz w:val="18"/>
                      <w:szCs w:val="18"/>
                    </w:rPr>
                  </w:pPr>
                  <w:r>
                    <w:rPr>
                      <w:sz w:val="18"/>
                      <w:szCs w:val="18"/>
                    </w:rPr>
                    <w:t>监测频次</w:t>
                  </w:r>
                </w:p>
              </w:tc>
              <w:tc>
                <w:tcPr>
                  <w:tcW w:w="2168" w:type="dxa"/>
                  <w:noWrap w:val="0"/>
                  <w:vAlign w:val="center"/>
                </w:tcPr>
                <w:p>
                  <w:pPr>
                    <w:jc w:val="center"/>
                    <w:rPr>
                      <w:sz w:val="18"/>
                      <w:szCs w:val="18"/>
                    </w:rPr>
                  </w:pPr>
                  <w:r>
                    <w:rPr>
                      <w:sz w:val="18"/>
                      <w:szCs w:val="18"/>
                    </w:rPr>
                    <w:t>排放标准（</w:t>
                  </w:r>
                  <w:r>
                    <w:rPr>
                      <w:rFonts w:hint="eastAsia"/>
                      <w:sz w:val="18"/>
                      <w:szCs w:val="18"/>
                    </w:rPr>
                    <w:t>mg/L</w:t>
                  </w:r>
                  <w:r>
                    <w:rPr>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51" w:type="dxa"/>
                  <w:vMerge w:val="restart"/>
                  <w:noWrap w:val="0"/>
                  <w:vAlign w:val="center"/>
                </w:tcPr>
                <w:p>
                  <w:pPr>
                    <w:jc w:val="center"/>
                    <w:rPr>
                      <w:sz w:val="18"/>
                      <w:szCs w:val="18"/>
                    </w:rPr>
                  </w:pPr>
                  <w:r>
                    <w:rPr>
                      <w:sz w:val="18"/>
                      <w:szCs w:val="18"/>
                    </w:rPr>
                    <w:t>废水排口</w:t>
                  </w:r>
                </w:p>
              </w:tc>
              <w:tc>
                <w:tcPr>
                  <w:tcW w:w="2168" w:type="dxa"/>
                  <w:noWrap w:val="0"/>
                  <w:vAlign w:val="center"/>
                </w:tcPr>
                <w:p>
                  <w:pPr>
                    <w:pStyle w:val="6"/>
                    <w:ind w:firstLine="0" w:firstLineChars="0"/>
                    <w:jc w:val="center"/>
                    <w:rPr>
                      <w:rFonts w:hint="eastAsia" w:ascii="Times New Roman" w:hAnsi="Times New Roman"/>
                      <w:sz w:val="18"/>
                      <w:szCs w:val="18"/>
                    </w:rPr>
                  </w:pPr>
                  <w:r>
                    <w:rPr>
                      <w:rFonts w:hint="eastAsia" w:ascii="Times New Roman" w:hAnsi="Times New Roman"/>
                      <w:sz w:val="18"/>
                      <w:szCs w:val="18"/>
                    </w:rPr>
                    <w:t>流量</w:t>
                  </w:r>
                </w:p>
              </w:tc>
              <w:tc>
                <w:tcPr>
                  <w:tcW w:w="2168" w:type="dxa"/>
                  <w:noWrap w:val="0"/>
                  <w:vAlign w:val="center"/>
                </w:tcPr>
                <w:p>
                  <w:pPr>
                    <w:jc w:val="center"/>
                    <w:rPr>
                      <w:rFonts w:hint="eastAsia"/>
                      <w:sz w:val="18"/>
                      <w:szCs w:val="18"/>
                    </w:rPr>
                  </w:pPr>
                  <w:r>
                    <w:rPr>
                      <w:rFonts w:hint="eastAsia"/>
                      <w:sz w:val="18"/>
                      <w:szCs w:val="18"/>
                    </w:rPr>
                    <w:t>自动监测</w:t>
                  </w:r>
                </w:p>
              </w:tc>
              <w:tc>
                <w:tcPr>
                  <w:tcW w:w="2168" w:type="dxa"/>
                  <w:noWrap w:val="0"/>
                  <w:vAlign w:val="center"/>
                </w:tcPr>
                <w:p>
                  <w:pPr>
                    <w:jc w:val="center"/>
                    <w:rPr>
                      <w:sz w:val="18"/>
                      <w:szCs w:val="18"/>
                    </w:rPr>
                  </w:pPr>
                  <w:r>
                    <w:rPr>
                      <w:rFonts w:hint="eastAsia"/>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51" w:type="dxa"/>
                  <w:vMerge w:val="continue"/>
                  <w:noWrap w:val="0"/>
                  <w:vAlign w:val="center"/>
                </w:tcPr>
                <w:p>
                  <w:pPr>
                    <w:jc w:val="center"/>
                    <w:rPr>
                      <w:sz w:val="18"/>
                      <w:szCs w:val="18"/>
                    </w:rPr>
                  </w:pPr>
                </w:p>
              </w:tc>
              <w:tc>
                <w:tcPr>
                  <w:tcW w:w="2168" w:type="dxa"/>
                  <w:noWrap w:val="0"/>
                  <w:vAlign w:val="center"/>
                </w:tcPr>
                <w:p>
                  <w:pPr>
                    <w:pStyle w:val="6"/>
                    <w:ind w:firstLine="0" w:firstLineChars="0"/>
                    <w:jc w:val="center"/>
                    <w:rPr>
                      <w:rFonts w:ascii="Times New Roman" w:hAnsi="Times New Roman"/>
                      <w:sz w:val="18"/>
                      <w:szCs w:val="18"/>
                    </w:rPr>
                  </w:pPr>
                  <w:r>
                    <w:rPr>
                      <w:rFonts w:hint="eastAsia" w:ascii="Times New Roman" w:hAnsi="Times New Roman"/>
                      <w:sz w:val="18"/>
                      <w:szCs w:val="18"/>
                    </w:rPr>
                    <w:t>pH</w:t>
                  </w:r>
                </w:p>
              </w:tc>
              <w:tc>
                <w:tcPr>
                  <w:tcW w:w="2168" w:type="dxa"/>
                  <w:noWrap w:val="0"/>
                  <w:vAlign w:val="center"/>
                </w:tcPr>
                <w:p>
                  <w:pPr>
                    <w:jc w:val="center"/>
                    <w:rPr>
                      <w:sz w:val="18"/>
                      <w:szCs w:val="18"/>
                    </w:rPr>
                  </w:pPr>
                  <w:r>
                    <w:rPr>
                      <w:rFonts w:hint="eastAsia"/>
                      <w:sz w:val="18"/>
                      <w:szCs w:val="18"/>
                    </w:rPr>
                    <w:t>自动监测</w:t>
                  </w:r>
                </w:p>
              </w:tc>
              <w:tc>
                <w:tcPr>
                  <w:tcW w:w="2168" w:type="dxa"/>
                  <w:noWrap w:val="0"/>
                  <w:vAlign w:val="center"/>
                </w:tcPr>
                <w:p>
                  <w:pPr>
                    <w:jc w:val="center"/>
                    <w:rPr>
                      <w:sz w:val="18"/>
                      <w:szCs w:val="18"/>
                    </w:rPr>
                  </w:pPr>
                  <w:r>
                    <w:rPr>
                      <w:rFonts w:hint="eastAsia"/>
                      <w:sz w:val="18"/>
                      <w:szCs w:val="18"/>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continue"/>
                  <w:noWrap w:val="0"/>
                  <w:vAlign w:val="center"/>
                </w:tcPr>
                <w:p>
                  <w:pPr>
                    <w:jc w:val="center"/>
                    <w:rPr>
                      <w:sz w:val="18"/>
                      <w:szCs w:val="18"/>
                    </w:rPr>
                  </w:pPr>
                </w:p>
              </w:tc>
              <w:tc>
                <w:tcPr>
                  <w:tcW w:w="2168" w:type="dxa"/>
                  <w:noWrap w:val="0"/>
                  <w:vAlign w:val="center"/>
                </w:tcPr>
                <w:p>
                  <w:pPr>
                    <w:pStyle w:val="6"/>
                    <w:ind w:firstLine="0" w:firstLineChars="0"/>
                    <w:jc w:val="center"/>
                    <w:rPr>
                      <w:rFonts w:hint="eastAsia" w:ascii="Times New Roman" w:hAnsi="Times New Roman"/>
                      <w:sz w:val="18"/>
                      <w:szCs w:val="18"/>
                    </w:rPr>
                  </w:pPr>
                  <w:r>
                    <w:rPr>
                      <w:rFonts w:ascii="Times New Roman" w:hAnsi="Times New Roman"/>
                      <w:sz w:val="18"/>
                      <w:szCs w:val="18"/>
                    </w:rPr>
                    <w:t>COD</w:t>
                  </w:r>
                </w:p>
              </w:tc>
              <w:tc>
                <w:tcPr>
                  <w:tcW w:w="2168" w:type="dxa"/>
                  <w:noWrap w:val="0"/>
                  <w:vAlign w:val="center"/>
                </w:tcPr>
                <w:p>
                  <w:pPr>
                    <w:jc w:val="center"/>
                    <w:rPr>
                      <w:rFonts w:hint="eastAsia"/>
                      <w:sz w:val="18"/>
                      <w:szCs w:val="18"/>
                    </w:rPr>
                  </w:pPr>
                  <w:r>
                    <w:rPr>
                      <w:rFonts w:hint="eastAsia"/>
                      <w:sz w:val="18"/>
                      <w:szCs w:val="18"/>
                    </w:rPr>
                    <w:t>自动监测</w:t>
                  </w:r>
                </w:p>
              </w:tc>
              <w:tc>
                <w:tcPr>
                  <w:tcW w:w="2168" w:type="dxa"/>
                  <w:noWrap w:val="0"/>
                  <w:vAlign w:val="center"/>
                </w:tcPr>
                <w:p>
                  <w:pPr>
                    <w:jc w:val="center"/>
                    <w:rPr>
                      <w:sz w:val="18"/>
                      <w:szCs w:val="18"/>
                    </w:rPr>
                  </w:pPr>
                  <w:r>
                    <w:rPr>
                      <w:rFonts w:hint="eastAsia"/>
                      <w:sz w:val="18"/>
                      <w:szCs w:val="18"/>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continue"/>
                  <w:noWrap w:val="0"/>
                  <w:vAlign w:val="center"/>
                </w:tcPr>
                <w:p>
                  <w:pPr>
                    <w:jc w:val="center"/>
                    <w:rPr>
                      <w:sz w:val="18"/>
                      <w:szCs w:val="18"/>
                    </w:rPr>
                  </w:pPr>
                </w:p>
              </w:tc>
              <w:tc>
                <w:tcPr>
                  <w:tcW w:w="2168" w:type="dxa"/>
                  <w:noWrap w:val="0"/>
                  <w:vAlign w:val="center"/>
                </w:tcPr>
                <w:p>
                  <w:pPr>
                    <w:pStyle w:val="6"/>
                    <w:ind w:firstLine="0" w:firstLineChars="0"/>
                    <w:jc w:val="center"/>
                    <w:rPr>
                      <w:rFonts w:ascii="Times New Roman" w:hAnsi="Times New Roman"/>
                      <w:sz w:val="18"/>
                      <w:szCs w:val="18"/>
                    </w:rPr>
                  </w:pPr>
                  <w:r>
                    <w:rPr>
                      <w:rFonts w:hint="eastAsia" w:ascii="Times New Roman" w:hAnsi="Times New Roman"/>
                      <w:sz w:val="18"/>
                      <w:szCs w:val="18"/>
                    </w:rPr>
                    <w:t>BOD</w:t>
                  </w:r>
                  <w:r>
                    <w:rPr>
                      <w:rFonts w:hint="eastAsia" w:ascii="Times New Roman" w:hAnsi="Times New Roman"/>
                      <w:sz w:val="18"/>
                      <w:szCs w:val="18"/>
                      <w:vertAlign w:val="subscript"/>
                    </w:rPr>
                    <w:t>5</w:t>
                  </w:r>
                </w:p>
              </w:tc>
              <w:tc>
                <w:tcPr>
                  <w:tcW w:w="2168" w:type="dxa"/>
                  <w:noWrap w:val="0"/>
                  <w:vAlign w:val="center"/>
                </w:tcPr>
                <w:p>
                  <w:pPr>
                    <w:jc w:val="center"/>
                    <w:rPr>
                      <w:rFonts w:hint="eastAsia"/>
                      <w:sz w:val="18"/>
                      <w:szCs w:val="18"/>
                    </w:rPr>
                  </w:pPr>
                  <w:r>
                    <w:rPr>
                      <w:rFonts w:hint="eastAsia"/>
                      <w:sz w:val="18"/>
                      <w:szCs w:val="18"/>
                    </w:rPr>
                    <w:t>1次/月</w:t>
                  </w:r>
                </w:p>
              </w:tc>
              <w:tc>
                <w:tcPr>
                  <w:tcW w:w="2168" w:type="dxa"/>
                  <w:noWrap w:val="0"/>
                  <w:vAlign w:val="center"/>
                </w:tcPr>
                <w:p>
                  <w:pPr>
                    <w:jc w:val="center"/>
                    <w:rPr>
                      <w:sz w:val="18"/>
                      <w:szCs w:val="18"/>
                    </w:rPr>
                  </w:pPr>
                  <w:r>
                    <w:rPr>
                      <w:rFonts w:hint="eastAsia"/>
                      <w:sz w:val="18"/>
                      <w:szCs w:val="18"/>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continue"/>
                  <w:noWrap w:val="0"/>
                  <w:vAlign w:val="center"/>
                </w:tcPr>
                <w:p>
                  <w:pPr>
                    <w:jc w:val="center"/>
                    <w:rPr>
                      <w:sz w:val="18"/>
                      <w:szCs w:val="18"/>
                    </w:rPr>
                  </w:pPr>
                </w:p>
              </w:tc>
              <w:tc>
                <w:tcPr>
                  <w:tcW w:w="2168" w:type="dxa"/>
                  <w:noWrap w:val="0"/>
                  <w:vAlign w:val="center"/>
                </w:tcPr>
                <w:p>
                  <w:pPr>
                    <w:jc w:val="center"/>
                    <w:rPr>
                      <w:rFonts w:hint="eastAsia"/>
                      <w:sz w:val="18"/>
                      <w:szCs w:val="18"/>
                    </w:rPr>
                  </w:pPr>
                  <w:r>
                    <w:rPr>
                      <w:sz w:val="18"/>
                      <w:szCs w:val="18"/>
                    </w:rPr>
                    <w:t>SS</w:t>
                  </w:r>
                </w:p>
              </w:tc>
              <w:tc>
                <w:tcPr>
                  <w:tcW w:w="2168" w:type="dxa"/>
                  <w:noWrap w:val="0"/>
                  <w:vAlign w:val="center"/>
                </w:tcPr>
                <w:p>
                  <w:pPr>
                    <w:jc w:val="center"/>
                    <w:rPr>
                      <w:rFonts w:hint="eastAsia"/>
                      <w:sz w:val="18"/>
                      <w:szCs w:val="18"/>
                    </w:rPr>
                  </w:pPr>
                  <w:r>
                    <w:rPr>
                      <w:rFonts w:hint="eastAsia"/>
                      <w:sz w:val="18"/>
                      <w:szCs w:val="18"/>
                    </w:rPr>
                    <w:t>1次/周</w:t>
                  </w:r>
                </w:p>
              </w:tc>
              <w:tc>
                <w:tcPr>
                  <w:tcW w:w="2168" w:type="dxa"/>
                  <w:noWrap w:val="0"/>
                  <w:vAlign w:val="center"/>
                </w:tcPr>
                <w:p>
                  <w:pPr>
                    <w:jc w:val="center"/>
                    <w:rPr>
                      <w:rFonts w:hint="eastAsia"/>
                      <w:sz w:val="18"/>
                      <w:szCs w:val="18"/>
                    </w:rPr>
                  </w:pPr>
                  <w:r>
                    <w:rPr>
                      <w:rFonts w:hint="eastAsia"/>
                      <w:sz w:val="18"/>
                      <w:szCs w:val="18"/>
                    </w:rPr>
                    <w:t>1</w:t>
                  </w:r>
                  <w:r>
                    <w:rPr>
                      <w:sz w:val="18"/>
                      <w:szCs w:val="18"/>
                    </w:rPr>
                    <w:t>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continue"/>
                  <w:noWrap w:val="0"/>
                  <w:vAlign w:val="center"/>
                </w:tcPr>
                <w:p>
                  <w:pPr>
                    <w:jc w:val="center"/>
                    <w:rPr>
                      <w:sz w:val="18"/>
                      <w:szCs w:val="18"/>
                    </w:rPr>
                  </w:pPr>
                </w:p>
              </w:tc>
              <w:tc>
                <w:tcPr>
                  <w:tcW w:w="2168" w:type="dxa"/>
                  <w:noWrap w:val="0"/>
                  <w:vAlign w:val="center"/>
                </w:tcPr>
                <w:p>
                  <w:pPr>
                    <w:jc w:val="center"/>
                    <w:rPr>
                      <w:rFonts w:hint="eastAsia"/>
                      <w:sz w:val="18"/>
                      <w:szCs w:val="18"/>
                    </w:rPr>
                  </w:pPr>
                  <w:r>
                    <w:rPr>
                      <w:sz w:val="18"/>
                      <w:szCs w:val="18"/>
                    </w:rPr>
                    <w:t>NH</w:t>
                  </w:r>
                  <w:r>
                    <w:rPr>
                      <w:sz w:val="18"/>
                      <w:szCs w:val="18"/>
                      <w:vertAlign w:val="subscript"/>
                    </w:rPr>
                    <w:t>3</w:t>
                  </w:r>
                  <w:r>
                    <w:rPr>
                      <w:sz w:val="18"/>
                      <w:szCs w:val="18"/>
                    </w:rPr>
                    <w:t>-N</w:t>
                  </w:r>
                </w:p>
              </w:tc>
              <w:tc>
                <w:tcPr>
                  <w:tcW w:w="2168" w:type="dxa"/>
                  <w:noWrap w:val="0"/>
                  <w:vAlign w:val="center"/>
                </w:tcPr>
                <w:p>
                  <w:pPr>
                    <w:jc w:val="center"/>
                    <w:rPr>
                      <w:rFonts w:hint="eastAsia"/>
                      <w:sz w:val="18"/>
                      <w:szCs w:val="18"/>
                    </w:rPr>
                  </w:pPr>
                  <w:r>
                    <w:rPr>
                      <w:rFonts w:hint="eastAsia"/>
                      <w:sz w:val="18"/>
                      <w:szCs w:val="18"/>
                    </w:rPr>
                    <w:t>自动监测</w:t>
                  </w:r>
                </w:p>
              </w:tc>
              <w:tc>
                <w:tcPr>
                  <w:tcW w:w="2168" w:type="dxa"/>
                  <w:noWrap w:val="0"/>
                  <w:vAlign w:val="center"/>
                </w:tcPr>
                <w:p>
                  <w:pPr>
                    <w:jc w:val="center"/>
                    <w:rPr>
                      <w:rFonts w:hint="eastAsia"/>
                      <w:sz w:val="18"/>
                      <w:szCs w:val="18"/>
                    </w:rPr>
                  </w:pPr>
                  <w:r>
                    <w:rPr>
                      <w:rFonts w:hint="eastAsia"/>
                      <w:sz w:val="18"/>
                      <w:szCs w:val="18"/>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continue"/>
                  <w:noWrap w:val="0"/>
                  <w:vAlign w:val="center"/>
                </w:tcPr>
                <w:p>
                  <w:pPr>
                    <w:jc w:val="center"/>
                    <w:rPr>
                      <w:sz w:val="18"/>
                      <w:szCs w:val="18"/>
                    </w:rPr>
                  </w:pPr>
                </w:p>
              </w:tc>
              <w:tc>
                <w:tcPr>
                  <w:tcW w:w="2168" w:type="dxa"/>
                  <w:noWrap w:val="0"/>
                  <w:vAlign w:val="center"/>
                </w:tcPr>
                <w:p>
                  <w:pPr>
                    <w:jc w:val="center"/>
                    <w:rPr>
                      <w:rFonts w:hint="eastAsia"/>
                      <w:sz w:val="18"/>
                      <w:szCs w:val="18"/>
                    </w:rPr>
                  </w:pPr>
                  <w:r>
                    <w:rPr>
                      <w:sz w:val="18"/>
                      <w:szCs w:val="18"/>
                    </w:rPr>
                    <w:t>TP</w:t>
                  </w:r>
                </w:p>
              </w:tc>
              <w:tc>
                <w:tcPr>
                  <w:tcW w:w="2168" w:type="dxa"/>
                  <w:noWrap w:val="0"/>
                  <w:vAlign w:val="center"/>
                </w:tcPr>
                <w:p>
                  <w:pPr>
                    <w:jc w:val="center"/>
                    <w:rPr>
                      <w:rFonts w:hint="eastAsia"/>
                      <w:sz w:val="18"/>
                      <w:szCs w:val="18"/>
                    </w:rPr>
                  </w:pPr>
                  <w:r>
                    <w:rPr>
                      <w:rFonts w:hint="eastAsia"/>
                      <w:sz w:val="18"/>
                      <w:szCs w:val="18"/>
                    </w:rPr>
                    <w:t>1次/季度</w:t>
                  </w:r>
                </w:p>
              </w:tc>
              <w:tc>
                <w:tcPr>
                  <w:tcW w:w="2168" w:type="dxa"/>
                  <w:noWrap w:val="0"/>
                  <w:vAlign w:val="center"/>
                </w:tcPr>
                <w:p>
                  <w:pPr>
                    <w:jc w:val="center"/>
                    <w:rPr>
                      <w:rFonts w:hint="eastAsia"/>
                      <w:sz w:val="18"/>
                      <w:szCs w:val="18"/>
                    </w:rPr>
                  </w:pPr>
                  <w:r>
                    <w:rPr>
                      <w:rFonts w:hint="eastAsia"/>
                      <w:sz w:val="18"/>
                      <w:szCs w:val="18"/>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continue"/>
                  <w:noWrap w:val="0"/>
                  <w:vAlign w:val="center"/>
                </w:tcPr>
                <w:p>
                  <w:pPr>
                    <w:jc w:val="center"/>
                    <w:rPr>
                      <w:sz w:val="18"/>
                      <w:szCs w:val="18"/>
                    </w:rPr>
                  </w:pPr>
                </w:p>
              </w:tc>
              <w:tc>
                <w:tcPr>
                  <w:tcW w:w="2168" w:type="dxa"/>
                  <w:noWrap w:val="0"/>
                  <w:vAlign w:val="center"/>
                </w:tcPr>
                <w:p>
                  <w:pPr>
                    <w:jc w:val="center"/>
                    <w:rPr>
                      <w:rFonts w:hint="eastAsia"/>
                      <w:sz w:val="18"/>
                      <w:szCs w:val="18"/>
                    </w:rPr>
                  </w:pPr>
                  <w:r>
                    <w:rPr>
                      <w:rFonts w:hint="eastAsia"/>
                      <w:sz w:val="18"/>
                      <w:szCs w:val="18"/>
                    </w:rPr>
                    <w:t>TN</w:t>
                  </w:r>
                </w:p>
              </w:tc>
              <w:tc>
                <w:tcPr>
                  <w:tcW w:w="2168" w:type="dxa"/>
                  <w:noWrap w:val="0"/>
                  <w:vAlign w:val="center"/>
                </w:tcPr>
                <w:p>
                  <w:pPr>
                    <w:jc w:val="center"/>
                    <w:rPr>
                      <w:rFonts w:hint="eastAsia"/>
                      <w:sz w:val="18"/>
                      <w:szCs w:val="18"/>
                    </w:rPr>
                  </w:pPr>
                  <w:r>
                    <w:rPr>
                      <w:rFonts w:hint="eastAsia"/>
                      <w:sz w:val="18"/>
                      <w:szCs w:val="18"/>
                    </w:rPr>
                    <w:t>1次/日</w:t>
                  </w:r>
                </w:p>
              </w:tc>
              <w:tc>
                <w:tcPr>
                  <w:tcW w:w="2168" w:type="dxa"/>
                  <w:noWrap w:val="0"/>
                  <w:vAlign w:val="center"/>
                </w:tcPr>
                <w:p>
                  <w:pPr>
                    <w:jc w:val="center"/>
                    <w:rPr>
                      <w:rFonts w:hint="eastAsia"/>
                      <w:sz w:val="18"/>
                      <w:szCs w:val="18"/>
                    </w:rPr>
                  </w:pPr>
                  <w:r>
                    <w:rPr>
                      <w:rFonts w:hint="eastAsia"/>
                      <w:sz w:val="18"/>
                      <w:szCs w:val="18"/>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continue"/>
                  <w:noWrap w:val="0"/>
                  <w:vAlign w:val="center"/>
                </w:tcPr>
                <w:p>
                  <w:pPr>
                    <w:jc w:val="center"/>
                    <w:rPr>
                      <w:sz w:val="18"/>
                      <w:szCs w:val="18"/>
                    </w:rPr>
                  </w:pPr>
                </w:p>
              </w:tc>
              <w:tc>
                <w:tcPr>
                  <w:tcW w:w="2168" w:type="dxa"/>
                  <w:noWrap w:val="0"/>
                  <w:vAlign w:val="center"/>
                </w:tcPr>
                <w:p>
                  <w:pPr>
                    <w:jc w:val="center"/>
                    <w:rPr>
                      <w:sz w:val="18"/>
                      <w:szCs w:val="18"/>
                    </w:rPr>
                  </w:pPr>
                  <w:r>
                    <w:rPr>
                      <w:rFonts w:hint="eastAsia"/>
                      <w:sz w:val="18"/>
                      <w:szCs w:val="18"/>
                    </w:rPr>
                    <w:t>LAS</w:t>
                  </w:r>
                </w:p>
              </w:tc>
              <w:tc>
                <w:tcPr>
                  <w:tcW w:w="2168" w:type="dxa"/>
                  <w:noWrap w:val="0"/>
                  <w:vAlign w:val="center"/>
                </w:tcPr>
                <w:p>
                  <w:pPr>
                    <w:jc w:val="center"/>
                    <w:rPr>
                      <w:rFonts w:hint="eastAsia"/>
                      <w:sz w:val="18"/>
                      <w:szCs w:val="18"/>
                    </w:rPr>
                  </w:pPr>
                  <w:r>
                    <w:rPr>
                      <w:rFonts w:hint="eastAsia"/>
                      <w:sz w:val="18"/>
                      <w:szCs w:val="18"/>
                    </w:rPr>
                    <w:t>1次/年</w:t>
                  </w:r>
                </w:p>
              </w:tc>
              <w:tc>
                <w:tcPr>
                  <w:tcW w:w="2168" w:type="dxa"/>
                  <w:noWrap w:val="0"/>
                  <w:vAlign w:val="center"/>
                </w:tcPr>
                <w:p>
                  <w:pPr>
                    <w:jc w:val="center"/>
                    <w:rPr>
                      <w:sz w:val="18"/>
                      <w:szCs w:val="18"/>
                    </w:rPr>
                  </w:pPr>
                  <w:r>
                    <w:rPr>
                      <w:sz w:val="18"/>
                      <w:szCs w:val="18"/>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continue"/>
                  <w:noWrap w:val="0"/>
                  <w:vAlign w:val="center"/>
                </w:tcPr>
                <w:p>
                  <w:pPr>
                    <w:jc w:val="center"/>
                    <w:rPr>
                      <w:sz w:val="18"/>
                      <w:szCs w:val="18"/>
                    </w:rPr>
                  </w:pPr>
                </w:p>
              </w:tc>
              <w:tc>
                <w:tcPr>
                  <w:tcW w:w="2168" w:type="dxa"/>
                  <w:noWrap w:val="0"/>
                  <w:vAlign w:val="center"/>
                </w:tcPr>
                <w:p>
                  <w:pPr>
                    <w:jc w:val="center"/>
                    <w:rPr>
                      <w:rFonts w:hint="eastAsia"/>
                      <w:sz w:val="18"/>
                      <w:szCs w:val="18"/>
                    </w:rPr>
                  </w:pPr>
                  <w:r>
                    <w:rPr>
                      <w:rFonts w:hint="eastAsia"/>
                      <w:sz w:val="18"/>
                      <w:szCs w:val="18"/>
                    </w:rPr>
                    <w:t>色度</w:t>
                  </w:r>
                </w:p>
              </w:tc>
              <w:tc>
                <w:tcPr>
                  <w:tcW w:w="2168" w:type="dxa"/>
                  <w:noWrap w:val="0"/>
                  <w:vAlign w:val="center"/>
                </w:tcPr>
                <w:p>
                  <w:pPr>
                    <w:jc w:val="center"/>
                    <w:rPr>
                      <w:rFonts w:hint="eastAsia"/>
                      <w:sz w:val="18"/>
                      <w:szCs w:val="18"/>
                    </w:rPr>
                  </w:pPr>
                  <w:r>
                    <w:rPr>
                      <w:rFonts w:hint="eastAsia"/>
                      <w:sz w:val="18"/>
                      <w:szCs w:val="18"/>
                    </w:rPr>
                    <w:t>1次/周</w:t>
                  </w:r>
                </w:p>
              </w:tc>
              <w:tc>
                <w:tcPr>
                  <w:tcW w:w="2168" w:type="dxa"/>
                  <w:noWrap w:val="0"/>
                  <w:vAlign w:val="center"/>
                </w:tcPr>
                <w:p>
                  <w:pPr>
                    <w:jc w:val="center"/>
                    <w:rPr>
                      <w:sz w:val="18"/>
                      <w:szCs w:val="18"/>
                    </w:rPr>
                  </w:pPr>
                  <w:r>
                    <w:rPr>
                      <w:rFonts w:hint="eastAsia"/>
                      <w:sz w:val="18"/>
                      <w:szCs w:val="18"/>
                    </w:rPr>
                    <w:t>80</w:t>
                  </w:r>
                  <w:r>
                    <w:rPr>
                      <w:sz w:val="18"/>
                      <w:szCs w:val="18"/>
                    </w:rPr>
                    <w:t>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restart"/>
                  <w:noWrap w:val="0"/>
                  <w:vAlign w:val="center"/>
                </w:tcPr>
                <w:p>
                  <w:pPr>
                    <w:jc w:val="center"/>
                    <w:rPr>
                      <w:sz w:val="18"/>
                      <w:szCs w:val="18"/>
                    </w:rPr>
                  </w:pPr>
                  <w:r>
                    <w:rPr>
                      <w:rFonts w:hint="eastAsia"/>
                      <w:sz w:val="18"/>
                      <w:szCs w:val="18"/>
                    </w:rPr>
                    <w:t>雨水排口</w:t>
                  </w:r>
                  <w:r>
                    <w:rPr>
                      <w:rFonts w:hint="eastAsia"/>
                      <w:b/>
                      <w:bCs/>
                      <w:sz w:val="18"/>
                      <w:szCs w:val="18"/>
                      <w:vertAlign w:val="superscript"/>
                    </w:rPr>
                    <w:t>[1]</w:t>
                  </w:r>
                </w:p>
              </w:tc>
              <w:tc>
                <w:tcPr>
                  <w:tcW w:w="2168" w:type="dxa"/>
                  <w:noWrap w:val="0"/>
                  <w:vAlign w:val="center"/>
                </w:tcPr>
                <w:p>
                  <w:pPr>
                    <w:pStyle w:val="6"/>
                    <w:ind w:firstLine="0" w:firstLineChars="0"/>
                    <w:jc w:val="center"/>
                    <w:rPr>
                      <w:rFonts w:ascii="Times New Roman" w:hAnsi="Times New Roman"/>
                      <w:sz w:val="18"/>
                      <w:szCs w:val="18"/>
                    </w:rPr>
                  </w:pPr>
                  <w:r>
                    <w:rPr>
                      <w:rFonts w:ascii="Times New Roman" w:hAnsi="Times New Roman"/>
                      <w:sz w:val="18"/>
                      <w:szCs w:val="18"/>
                    </w:rPr>
                    <w:t>COD</w:t>
                  </w:r>
                </w:p>
              </w:tc>
              <w:tc>
                <w:tcPr>
                  <w:tcW w:w="2168" w:type="dxa"/>
                  <w:noWrap w:val="0"/>
                  <w:vAlign w:val="center"/>
                </w:tcPr>
                <w:p>
                  <w:pPr>
                    <w:jc w:val="center"/>
                    <w:rPr>
                      <w:rFonts w:hint="eastAsia"/>
                      <w:sz w:val="18"/>
                      <w:szCs w:val="18"/>
                    </w:rPr>
                  </w:pPr>
                  <w:r>
                    <w:rPr>
                      <w:rFonts w:hint="eastAsia"/>
                      <w:sz w:val="18"/>
                      <w:szCs w:val="18"/>
                    </w:rPr>
                    <w:t>1次/日</w:t>
                  </w:r>
                </w:p>
              </w:tc>
              <w:tc>
                <w:tcPr>
                  <w:tcW w:w="2168" w:type="dxa"/>
                  <w:noWrap w:val="0"/>
                  <w:vAlign w:val="center"/>
                </w:tcPr>
                <w:p>
                  <w:pPr>
                    <w:jc w:val="center"/>
                    <w:rPr>
                      <w:sz w:val="18"/>
                      <w:szCs w:val="18"/>
                    </w:rPr>
                  </w:pPr>
                  <w:r>
                    <w:rPr>
                      <w:rFonts w:hint="eastAsia"/>
                      <w:sz w:val="18"/>
                      <w:szCs w:val="18"/>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51" w:type="dxa"/>
                  <w:vMerge w:val="continue"/>
                  <w:noWrap w:val="0"/>
                  <w:vAlign w:val="center"/>
                </w:tcPr>
                <w:p>
                  <w:pPr>
                    <w:jc w:val="center"/>
                    <w:rPr>
                      <w:sz w:val="18"/>
                      <w:szCs w:val="18"/>
                    </w:rPr>
                  </w:pPr>
                </w:p>
              </w:tc>
              <w:tc>
                <w:tcPr>
                  <w:tcW w:w="2168" w:type="dxa"/>
                  <w:noWrap w:val="0"/>
                  <w:vAlign w:val="center"/>
                </w:tcPr>
                <w:p>
                  <w:pPr>
                    <w:pStyle w:val="6"/>
                    <w:ind w:firstLine="0" w:firstLineChars="0"/>
                    <w:jc w:val="center"/>
                    <w:rPr>
                      <w:rFonts w:hint="eastAsia"/>
                      <w:sz w:val="18"/>
                      <w:szCs w:val="18"/>
                    </w:rPr>
                  </w:pPr>
                  <w:r>
                    <w:rPr>
                      <w:sz w:val="18"/>
                      <w:szCs w:val="18"/>
                    </w:rPr>
                    <w:t>SS</w:t>
                  </w:r>
                </w:p>
              </w:tc>
              <w:tc>
                <w:tcPr>
                  <w:tcW w:w="2168" w:type="dxa"/>
                  <w:noWrap w:val="0"/>
                  <w:vAlign w:val="center"/>
                </w:tcPr>
                <w:p>
                  <w:pPr>
                    <w:jc w:val="center"/>
                    <w:rPr>
                      <w:rFonts w:hint="eastAsia"/>
                      <w:sz w:val="18"/>
                      <w:szCs w:val="18"/>
                    </w:rPr>
                  </w:pPr>
                  <w:r>
                    <w:rPr>
                      <w:rFonts w:hint="eastAsia"/>
                      <w:sz w:val="18"/>
                      <w:szCs w:val="18"/>
                    </w:rPr>
                    <w:t>1次/日</w:t>
                  </w:r>
                </w:p>
              </w:tc>
              <w:tc>
                <w:tcPr>
                  <w:tcW w:w="2168" w:type="dxa"/>
                  <w:noWrap w:val="0"/>
                  <w:vAlign w:val="center"/>
                </w:tcPr>
                <w:p>
                  <w:pPr>
                    <w:jc w:val="center"/>
                    <w:rPr>
                      <w:sz w:val="18"/>
                      <w:szCs w:val="18"/>
                    </w:rPr>
                  </w:pPr>
                  <w:r>
                    <w:rPr>
                      <w:rFonts w:hint="eastAsia"/>
                      <w:sz w:val="18"/>
                      <w:szCs w:val="18"/>
                    </w:rPr>
                    <w:t>30</w:t>
                  </w:r>
                </w:p>
              </w:tc>
            </w:tr>
          </w:tbl>
          <w:p>
            <w:pPr>
              <w:adjustRightInd w:val="0"/>
              <w:snapToGrid w:val="0"/>
              <w:spacing w:line="240" w:lineRule="atLeast"/>
              <w:rPr>
                <w:rFonts w:hint="eastAsia"/>
                <w:b/>
                <w:sz w:val="18"/>
                <w:szCs w:val="18"/>
              </w:rPr>
            </w:pPr>
            <w:r>
              <w:rPr>
                <w:rFonts w:hint="eastAsia"/>
                <w:b/>
                <w:sz w:val="18"/>
                <w:szCs w:val="18"/>
              </w:rPr>
              <w:t>注：[1]雨水排放口有流动水排放时按日监测。若监测一年无异常情况，可放宽至每季度开展一次监测。</w:t>
            </w:r>
          </w:p>
          <w:p>
            <w:pPr>
              <w:adjustRightInd w:val="0"/>
              <w:snapToGrid w:val="0"/>
              <w:spacing w:line="240" w:lineRule="atLeast"/>
              <w:rPr>
                <w:rFonts w:hint="eastAsia"/>
                <w:b/>
                <w:sz w:val="18"/>
                <w:szCs w:val="18"/>
              </w:rPr>
            </w:pPr>
            <w:r>
              <w:rPr>
                <w:rFonts w:hint="eastAsia"/>
                <w:b/>
                <w:sz w:val="18"/>
                <w:szCs w:val="18"/>
              </w:rPr>
              <w:t>[2]项目位于总氮控制区，总氮监测频次为1次/日。</w:t>
            </w:r>
          </w:p>
          <w:p>
            <w:pPr>
              <w:adjustRightInd w:val="0"/>
              <w:snapToGrid w:val="0"/>
              <w:spacing w:line="500" w:lineRule="exact"/>
              <w:rPr>
                <w:rFonts w:hint="eastAsia"/>
                <w:b/>
                <w:bCs/>
                <w:szCs w:val="21"/>
              </w:rPr>
            </w:pPr>
            <w:r>
              <w:rPr>
                <w:rFonts w:hint="eastAsia"/>
                <w:b/>
                <w:bCs/>
                <w:szCs w:val="21"/>
              </w:rPr>
              <w:t>废水接管可行性分析：</w:t>
            </w:r>
          </w:p>
          <w:p>
            <w:pPr>
              <w:adjustRightInd w:val="0"/>
              <w:snapToGrid w:val="0"/>
              <w:spacing w:line="500" w:lineRule="exact"/>
              <w:ind w:firstLine="420" w:firstLineChars="200"/>
              <w:rPr>
                <w:rFonts w:hint="eastAsia"/>
                <w:bCs/>
                <w:szCs w:val="21"/>
              </w:rPr>
            </w:pPr>
            <w:r>
              <w:rPr>
                <w:rFonts w:hint="eastAsia"/>
                <w:bCs/>
                <w:szCs w:val="21"/>
              </w:rPr>
              <w:t>①水量接管可行性分析</w:t>
            </w:r>
          </w:p>
          <w:p>
            <w:pPr>
              <w:adjustRightInd w:val="0"/>
              <w:snapToGrid w:val="0"/>
              <w:spacing w:line="500" w:lineRule="exact"/>
              <w:ind w:firstLine="420" w:firstLineChars="200"/>
              <w:rPr>
                <w:rFonts w:hint="eastAsia"/>
                <w:bCs/>
                <w:szCs w:val="21"/>
              </w:rPr>
            </w:pPr>
            <w:r>
              <w:rPr>
                <w:rFonts w:hint="eastAsia"/>
                <w:bCs/>
                <w:szCs w:val="21"/>
              </w:rPr>
              <w:t>本项目</w:t>
            </w:r>
            <w:r>
              <w:rPr>
                <w:rFonts w:hint="eastAsia"/>
                <w:bCs/>
                <w:szCs w:val="21"/>
                <w:lang w:eastAsia="zh-CN"/>
              </w:rPr>
              <w:t>技改完成</w:t>
            </w:r>
            <w:r>
              <w:rPr>
                <w:rFonts w:hint="eastAsia"/>
                <w:bCs/>
                <w:szCs w:val="21"/>
              </w:rPr>
              <w:t>后，污水排放量约</w:t>
            </w:r>
            <w:r>
              <w:rPr>
                <w:rFonts w:hint="eastAsia"/>
                <w:bCs/>
                <w:szCs w:val="21"/>
                <w:lang w:val="en-US" w:eastAsia="zh-CN"/>
              </w:rPr>
              <w:t>14.51</w:t>
            </w:r>
            <w:r>
              <w:rPr>
                <w:rFonts w:hint="eastAsia"/>
                <w:bCs/>
                <w:szCs w:val="21"/>
              </w:rPr>
              <w:t>t/d，</w:t>
            </w:r>
            <w:r>
              <w:rPr>
                <w:rFonts w:hint="eastAsia"/>
                <w:bCs/>
                <w:szCs w:val="21"/>
                <w:lang w:eastAsia="zh-CN"/>
              </w:rPr>
              <w:t>启东城市污水处理厂行</w:t>
            </w:r>
            <w:r>
              <w:rPr>
                <w:rFonts w:hint="eastAsia"/>
                <w:bCs/>
                <w:szCs w:val="21"/>
              </w:rPr>
              <w:t>处理能力为</w:t>
            </w:r>
            <w:r>
              <w:rPr>
                <w:rFonts w:hint="eastAsia"/>
                <w:bCs/>
                <w:szCs w:val="21"/>
                <w:lang w:val="en-US" w:eastAsia="zh-CN"/>
              </w:rPr>
              <w:t>14</w:t>
            </w:r>
            <w:r>
              <w:rPr>
                <w:rFonts w:hint="eastAsia"/>
                <w:bCs/>
                <w:szCs w:val="21"/>
              </w:rPr>
              <w:t>万t/d，占比污水处理厂实际处理量为0.0</w:t>
            </w:r>
            <w:r>
              <w:rPr>
                <w:rFonts w:hint="eastAsia"/>
                <w:bCs/>
                <w:szCs w:val="21"/>
                <w:lang w:val="en-US" w:eastAsia="zh-CN"/>
              </w:rPr>
              <w:t>1</w:t>
            </w:r>
            <w:r>
              <w:rPr>
                <w:rFonts w:hint="eastAsia"/>
                <w:bCs/>
                <w:szCs w:val="21"/>
              </w:rPr>
              <w:t>%，因此，在处理规模方面，本项目污水接管启东城市污水处理厂是可行的。</w:t>
            </w:r>
          </w:p>
          <w:p>
            <w:pPr>
              <w:adjustRightInd w:val="0"/>
              <w:snapToGrid w:val="0"/>
              <w:spacing w:line="500" w:lineRule="exact"/>
              <w:ind w:firstLine="420" w:firstLineChars="200"/>
              <w:rPr>
                <w:rFonts w:hint="eastAsia"/>
                <w:bCs/>
                <w:szCs w:val="21"/>
              </w:rPr>
            </w:pPr>
            <w:r>
              <w:rPr>
                <w:rFonts w:hint="eastAsia"/>
                <w:bCs/>
                <w:szCs w:val="21"/>
              </w:rPr>
              <w:t>②工艺的可行性分析</w:t>
            </w:r>
          </w:p>
          <w:p>
            <w:pPr>
              <w:adjustRightInd w:val="0"/>
              <w:snapToGrid w:val="0"/>
              <w:spacing w:line="500" w:lineRule="exact"/>
              <w:ind w:firstLine="420" w:firstLineChars="200"/>
              <w:rPr>
                <w:rFonts w:hint="eastAsia"/>
                <w:bCs/>
                <w:szCs w:val="21"/>
              </w:rPr>
            </w:pPr>
            <w:r>
              <w:rPr>
                <w:rFonts w:hint="eastAsia"/>
                <w:bCs/>
                <w:szCs w:val="21"/>
              </w:rPr>
              <w:t>启东城市污水处理厂采用脱磷除氮效果较好的 Orbal 氧化沟生化处理工艺。在污水处理厂运行正常的情况下，经Orbal氧化沟生化处理后，污水中的COD、SS的去除率均达到了90%以上，TN的去除率达到了80%左右，处理后的废水水质可达到《城填污水处理厂污染物排放标准》（GB18918-2002）中的一级A标准，尾水排入长江。本项目</w:t>
            </w:r>
            <w:r>
              <w:rPr>
                <w:rFonts w:hint="eastAsia"/>
                <w:bCs/>
                <w:szCs w:val="21"/>
                <w:lang w:eastAsia="zh-CN"/>
              </w:rPr>
              <w:t>生产废水经污水处理设施</w:t>
            </w:r>
            <w:r>
              <w:rPr>
                <w:rFonts w:hint="eastAsia"/>
                <w:bCs/>
                <w:szCs w:val="21"/>
              </w:rPr>
              <w:t>预处理达到《纺织染整工业水污染物排放标准》（GB4287-2012）表2间接标准及其修改单、LAS执行</w:t>
            </w:r>
            <w:r>
              <w:rPr>
                <w:rFonts w:hint="eastAsia"/>
                <w:szCs w:val="21"/>
              </w:rPr>
              <w:t>《污水综合排放标准》（GB8978-1996）表2三级标准</w:t>
            </w:r>
            <w:r>
              <w:rPr>
                <w:rFonts w:hint="eastAsia"/>
                <w:bCs/>
                <w:szCs w:val="21"/>
              </w:rPr>
              <w:t>。</w:t>
            </w:r>
            <w:r>
              <w:rPr>
                <w:rFonts w:hint="eastAsia"/>
                <w:bCs/>
                <w:szCs w:val="21"/>
                <w:lang w:eastAsia="zh-CN"/>
              </w:rPr>
              <w:t>技改完成后</w:t>
            </w:r>
            <w:r>
              <w:rPr>
                <w:rFonts w:hint="eastAsia"/>
                <w:bCs/>
                <w:szCs w:val="21"/>
              </w:rPr>
              <w:t>本项目污水排放量为</w:t>
            </w:r>
            <w:r>
              <w:rPr>
                <w:rFonts w:hint="eastAsia"/>
                <w:bCs/>
                <w:szCs w:val="21"/>
                <w:lang w:val="en-US" w:eastAsia="zh-CN"/>
              </w:rPr>
              <w:t>4353</w:t>
            </w:r>
            <w:r>
              <w:rPr>
                <w:rFonts w:hint="eastAsia"/>
                <w:bCs/>
                <w:szCs w:val="21"/>
              </w:rPr>
              <w:t>t/a，主要是生活污水、洗衣废水、</w:t>
            </w:r>
            <w:r>
              <w:rPr>
                <w:rFonts w:hint="eastAsia"/>
                <w:bCs/>
                <w:szCs w:val="21"/>
                <w:lang w:eastAsia="zh-CN"/>
              </w:rPr>
              <w:t>柔软废水、脱水废水、</w:t>
            </w:r>
            <w:r>
              <w:rPr>
                <w:rFonts w:hint="eastAsia"/>
                <w:bCs/>
                <w:szCs w:val="21"/>
              </w:rPr>
              <w:t>蒸汽冷凝水</w:t>
            </w:r>
            <w:r>
              <w:rPr>
                <w:rFonts w:hint="eastAsia"/>
                <w:bCs/>
                <w:szCs w:val="21"/>
                <w:lang w:eastAsia="zh-CN"/>
              </w:rPr>
              <w:t>等</w:t>
            </w:r>
            <w:r>
              <w:rPr>
                <w:rFonts w:hint="eastAsia"/>
                <w:bCs/>
                <w:szCs w:val="21"/>
              </w:rPr>
              <w:t>，污染因子为COD、SS、氨氮、TP、TN、LAS、色度</w:t>
            </w:r>
            <w:r>
              <w:rPr>
                <w:rFonts w:hint="eastAsia"/>
                <w:bCs/>
                <w:szCs w:val="21"/>
                <w:lang w:eastAsia="zh-CN"/>
              </w:rPr>
              <w:t>、动植物油</w:t>
            </w:r>
            <w:r>
              <w:rPr>
                <w:rFonts w:hint="eastAsia"/>
                <w:bCs/>
                <w:szCs w:val="21"/>
              </w:rPr>
              <w:t>，生活污水经化粪池预处理、冷凝废水回用于洗衣工序，洗衣废水</w:t>
            </w:r>
            <w:r>
              <w:rPr>
                <w:rFonts w:hint="eastAsia"/>
                <w:bCs/>
                <w:szCs w:val="21"/>
                <w:lang w:eastAsia="zh-CN"/>
              </w:rPr>
              <w:t>、柔软废水、脱水废水</w:t>
            </w:r>
            <w:r>
              <w:rPr>
                <w:rFonts w:hint="eastAsia"/>
                <w:bCs/>
                <w:szCs w:val="21"/>
              </w:rPr>
              <w:t>经污水处理站处理后可以满足污水处理厂的接管标准要求，不会对</w:t>
            </w:r>
            <w:r>
              <w:rPr>
                <w:rFonts w:hint="eastAsia"/>
                <w:bCs/>
                <w:szCs w:val="21"/>
                <w:lang w:eastAsia="zh-CN"/>
              </w:rPr>
              <w:t>启东城市污水处理厂</w:t>
            </w:r>
            <w:r>
              <w:rPr>
                <w:rFonts w:hint="eastAsia"/>
                <w:bCs/>
                <w:szCs w:val="21"/>
              </w:rPr>
              <w:t>的正常运行造成影响。</w:t>
            </w:r>
          </w:p>
          <w:p>
            <w:pPr>
              <w:adjustRightInd w:val="0"/>
              <w:snapToGrid w:val="0"/>
              <w:spacing w:line="500" w:lineRule="exact"/>
              <w:ind w:firstLine="420" w:firstLineChars="200"/>
              <w:rPr>
                <w:rFonts w:hint="eastAsia"/>
                <w:bCs/>
                <w:szCs w:val="21"/>
              </w:rPr>
            </w:pPr>
            <w:r>
              <w:rPr>
                <w:rFonts w:hint="eastAsia"/>
                <w:bCs/>
                <w:szCs w:val="21"/>
              </w:rPr>
              <w:t>③管网配套可行性分析</w:t>
            </w:r>
          </w:p>
          <w:p>
            <w:pPr>
              <w:adjustRightInd w:val="0"/>
              <w:snapToGrid w:val="0"/>
              <w:spacing w:line="500" w:lineRule="exact"/>
              <w:ind w:firstLine="420" w:firstLineChars="200"/>
              <w:rPr>
                <w:rFonts w:hint="eastAsia" w:eastAsia="宋体"/>
                <w:bCs/>
                <w:szCs w:val="21"/>
                <w:lang w:eastAsia="zh-CN"/>
              </w:rPr>
            </w:pPr>
            <w:r>
              <w:rPr>
                <w:rFonts w:hint="eastAsia"/>
                <w:bCs/>
                <w:szCs w:val="21"/>
              </w:rPr>
              <w:t>本项目周边的人民西路设有污水管线与启东城市污水处理厂污水管网接通，因此，本项目废水接管排入启东城市污水处理厂处理，从管网建设配套方面考虑是可行的。服务范围：启东城市污水处理厂的收集范围为：北至中央河，南至纬三路，东至惠阳路，西至大洪头河，服务面积为包括了整个城区和开发区部分区域在内的20000平方公里。本项目在该污水处理厂规划的污水收集管网范围内</w:t>
            </w:r>
            <w:r>
              <w:rPr>
                <w:rFonts w:hint="eastAsia"/>
                <w:bCs/>
                <w:szCs w:val="21"/>
                <w:lang w:eastAsia="zh-CN"/>
              </w:rPr>
              <w:t>。</w:t>
            </w:r>
          </w:p>
          <w:p>
            <w:pPr>
              <w:adjustRightInd w:val="0"/>
              <w:snapToGrid w:val="0"/>
              <w:spacing w:line="500" w:lineRule="exact"/>
              <w:ind w:firstLine="420" w:firstLineChars="200"/>
              <w:rPr>
                <w:rFonts w:hint="eastAsia"/>
                <w:bCs/>
                <w:szCs w:val="21"/>
              </w:rPr>
            </w:pPr>
            <w:r>
              <w:rPr>
                <w:rFonts w:hint="eastAsia"/>
                <w:bCs/>
                <w:szCs w:val="21"/>
              </w:rPr>
              <w:t>④接管可行性结论</w:t>
            </w:r>
          </w:p>
          <w:p>
            <w:pPr>
              <w:adjustRightInd w:val="0"/>
              <w:snapToGrid w:val="0"/>
              <w:spacing w:line="500" w:lineRule="exact"/>
              <w:ind w:firstLine="420" w:firstLineChars="200"/>
              <w:rPr>
                <w:rFonts w:hint="eastAsia"/>
                <w:bCs/>
                <w:szCs w:val="21"/>
              </w:rPr>
            </w:pPr>
            <w:r>
              <w:rPr>
                <w:rFonts w:hint="eastAsia"/>
                <w:bCs/>
                <w:szCs w:val="21"/>
              </w:rPr>
              <w:t>从以上的分析可知，项目位于</w:t>
            </w:r>
            <w:r>
              <w:rPr>
                <w:rFonts w:hint="eastAsia"/>
                <w:bCs/>
                <w:szCs w:val="21"/>
                <w:lang w:eastAsia="zh-CN"/>
              </w:rPr>
              <w:t>启东城市污水处理厂</w:t>
            </w:r>
            <w:r>
              <w:rPr>
                <w:rFonts w:hint="eastAsia"/>
                <w:bCs/>
                <w:szCs w:val="21"/>
              </w:rPr>
              <w:t>的服务范围内，且项目废水经预处理后可达到污水处理厂接管要求，废水排放量在污水处理厂现有处理规模的能力范围内。因此，建设项目废水接入</w:t>
            </w:r>
            <w:r>
              <w:rPr>
                <w:rFonts w:hint="eastAsia"/>
                <w:bCs/>
                <w:szCs w:val="21"/>
                <w:lang w:eastAsia="zh-CN"/>
              </w:rPr>
              <w:t>启东城市污水处理厂</w:t>
            </w:r>
            <w:r>
              <w:rPr>
                <w:rFonts w:hint="eastAsia"/>
                <w:bCs/>
                <w:szCs w:val="21"/>
              </w:rPr>
              <w:t>集中处理是可行的。预计对受纳水体长江南通段影响较小。</w:t>
            </w:r>
          </w:p>
          <w:p>
            <w:pPr>
              <w:adjustRightInd w:val="0"/>
              <w:snapToGrid w:val="0"/>
              <w:spacing w:line="500" w:lineRule="exact"/>
              <w:ind w:firstLine="422" w:firstLineChars="200"/>
              <w:rPr>
                <w:rFonts w:hint="eastAsia"/>
                <w:b/>
                <w:bCs/>
                <w:szCs w:val="21"/>
              </w:rPr>
            </w:pPr>
            <w:r>
              <w:rPr>
                <w:rFonts w:hint="eastAsia"/>
                <w:b/>
                <w:bCs/>
                <w:szCs w:val="21"/>
              </w:rPr>
              <w:t>水环境影响评价结论：</w:t>
            </w:r>
          </w:p>
          <w:p>
            <w:pPr>
              <w:adjustRightInd w:val="0"/>
              <w:snapToGrid w:val="0"/>
              <w:spacing w:line="500" w:lineRule="exact"/>
              <w:ind w:firstLine="420" w:firstLineChars="200"/>
              <w:rPr>
                <w:rFonts w:hint="eastAsia"/>
                <w:bCs/>
                <w:szCs w:val="21"/>
              </w:rPr>
            </w:pPr>
            <w:r>
              <w:rPr>
                <w:rFonts w:hint="eastAsia"/>
                <w:bCs/>
                <w:szCs w:val="21"/>
              </w:rPr>
              <w:t>综上所述，项目废水为间接排放，由依托</w:t>
            </w:r>
            <w:r>
              <w:rPr>
                <w:rFonts w:hint="eastAsia"/>
                <w:bCs/>
                <w:szCs w:val="21"/>
                <w:lang w:eastAsia="zh-CN"/>
              </w:rPr>
              <w:t>启东城市污水处理厂</w:t>
            </w:r>
            <w:r>
              <w:rPr>
                <w:rFonts w:hint="eastAsia"/>
                <w:bCs/>
                <w:szCs w:val="21"/>
              </w:rPr>
              <w:t>可行性分析可知，项目水量、水质等均符合</w:t>
            </w:r>
            <w:r>
              <w:rPr>
                <w:rFonts w:hint="eastAsia"/>
                <w:bCs/>
                <w:szCs w:val="21"/>
                <w:lang w:eastAsia="zh-CN"/>
              </w:rPr>
              <w:t>启东城市污水处理厂</w:t>
            </w:r>
            <w:r>
              <w:rPr>
                <w:rFonts w:hint="eastAsia"/>
                <w:bCs/>
                <w:szCs w:val="21"/>
              </w:rPr>
              <w:t>接管要求。因此，项目废水排放不会对地表水环境产生不利影响，地表水影响可接受。</w:t>
            </w:r>
          </w:p>
          <w:p>
            <w:pPr>
              <w:adjustRightInd w:val="0"/>
              <w:snapToGrid w:val="0"/>
              <w:spacing w:line="500" w:lineRule="exact"/>
              <w:rPr>
                <w:bCs/>
                <w:spacing w:val="-10"/>
                <w:szCs w:val="21"/>
              </w:rPr>
            </w:pPr>
          </w:p>
        </w:tc>
      </w:tr>
    </w:tbl>
    <w:p>
      <w:pPr>
        <w:rPr>
          <w:rFonts w:hint="eastAsia"/>
          <w:lang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pStyle w:val="2"/>
        <w:rPr>
          <w:rFonts w:hint="eastAsia"/>
          <w:lang w:eastAsia="zh-CN"/>
        </w:rPr>
      </w:pPr>
    </w:p>
    <w:tbl>
      <w:tblPr>
        <w:tblStyle w:val="12"/>
        <w:tblW w:w="14569"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pStyle w:val="2"/>
              <w:rPr>
                <w:vertAlign w:val="baseline"/>
              </w:rPr>
            </w:pPr>
          </w:p>
        </w:tc>
        <w:tc>
          <w:tcPr>
            <w:tcW w:w="13504" w:type="dxa"/>
          </w:tcPr>
          <w:p>
            <w:pPr>
              <w:adjustRightInd w:val="0"/>
              <w:snapToGrid w:val="0"/>
              <w:spacing w:line="500" w:lineRule="exact"/>
              <w:ind w:firstLine="422" w:firstLineChars="200"/>
              <w:rPr>
                <w:rFonts w:hint="eastAsia"/>
                <w:b/>
                <w:color w:val="auto"/>
                <w:szCs w:val="21"/>
              </w:rPr>
            </w:pPr>
            <w:r>
              <w:rPr>
                <w:rFonts w:hint="eastAsia"/>
                <w:b/>
                <w:color w:val="auto"/>
                <w:szCs w:val="21"/>
              </w:rPr>
              <w:t>三、噪声</w:t>
            </w:r>
          </w:p>
          <w:p>
            <w:pPr>
              <w:pStyle w:val="7"/>
              <w:spacing w:line="360" w:lineRule="auto"/>
              <w:ind w:firstLine="411" w:firstLineChars="196"/>
              <w:rPr>
                <w:rFonts w:ascii="Times New Roman" w:hAnsi="Times New Roman"/>
                <w:szCs w:val="21"/>
              </w:rPr>
            </w:pPr>
            <w:r>
              <w:rPr>
                <w:rFonts w:ascii="Times New Roman" w:hAnsi="Times New Roman"/>
                <w:szCs w:val="21"/>
              </w:rPr>
              <w:t>根据项目建设内容及《环境影响评价技术导则—声环境》（HJ2.4-2021）的要求，项目环评采用的模型为《环境影响评价技术导则 声环境》(HJ2.4.2021)附录A（规范性附录）户外声传播的衰减和附录B（规范性附录）中“B.1工业噪声预测计算模型”。</w:t>
            </w:r>
          </w:p>
          <w:p>
            <w:pPr>
              <w:pStyle w:val="7"/>
              <w:spacing w:line="360" w:lineRule="auto"/>
              <w:ind w:firstLine="413" w:firstLineChars="196"/>
              <w:rPr>
                <w:rFonts w:ascii="Times New Roman" w:hAnsi="Times New Roman"/>
                <w:b/>
                <w:bCs/>
                <w:szCs w:val="21"/>
              </w:rPr>
            </w:pPr>
            <w:r>
              <w:rPr>
                <w:rFonts w:hint="eastAsia" w:ascii="Times New Roman" w:hAnsi="Times New Roman"/>
                <w:b/>
                <w:bCs/>
                <w:szCs w:val="21"/>
                <w:lang w:val="en-US" w:eastAsia="zh-CN"/>
              </w:rPr>
              <w:t>1、</w:t>
            </w:r>
            <w:r>
              <w:rPr>
                <w:rFonts w:hint="eastAsia" w:ascii="Times New Roman" w:hAnsi="Times New Roman"/>
                <w:b/>
                <w:bCs/>
                <w:szCs w:val="21"/>
              </w:rPr>
              <w:t>噪声源强</w:t>
            </w:r>
          </w:p>
          <w:p>
            <w:pPr>
              <w:pStyle w:val="7"/>
              <w:spacing w:line="360" w:lineRule="auto"/>
              <w:ind w:firstLine="411" w:firstLineChars="196"/>
              <w:rPr>
                <w:rFonts w:hint="default" w:ascii="Times New Roman" w:hAnsi="Times New Roman" w:eastAsia="宋体" w:cs="Times New Roman"/>
                <w:b/>
                <w:bCs/>
                <w:color w:val="auto"/>
                <w:szCs w:val="21"/>
                <w:lang w:val="en-US" w:eastAsia="zh-CN"/>
              </w:rPr>
            </w:pPr>
            <w:r>
              <w:rPr>
                <w:rFonts w:ascii="Times New Roman" w:hAnsi="Times New Roman"/>
                <w:szCs w:val="21"/>
              </w:rPr>
              <w:t>项目在生产过程中产生的噪声主要源自</w:t>
            </w:r>
            <w:r>
              <w:rPr>
                <w:rFonts w:hint="eastAsia" w:ascii="Times New Roman" w:hAnsi="Times New Roman"/>
                <w:szCs w:val="21"/>
                <w:lang w:val="en-US" w:eastAsia="zh-CN"/>
              </w:rPr>
              <w:t>洗衣机、脱水机、烘干机</w:t>
            </w:r>
            <w:r>
              <w:rPr>
                <w:rFonts w:ascii="Times New Roman" w:hAnsi="Times New Roman"/>
                <w:szCs w:val="21"/>
              </w:rPr>
              <w:t>等</w:t>
            </w:r>
            <w:r>
              <w:rPr>
                <w:rFonts w:hint="eastAsia" w:ascii="Times New Roman" w:hAnsi="Times New Roman"/>
                <w:szCs w:val="21"/>
              </w:rPr>
              <w:t>，</w:t>
            </w:r>
            <w:r>
              <w:rPr>
                <w:rFonts w:ascii="Times New Roman" w:hAnsi="Times New Roman"/>
                <w:szCs w:val="21"/>
              </w:rPr>
              <w:t>这些设备产生的噪声声级一般在</w:t>
            </w:r>
            <w:r>
              <w:rPr>
                <w:rFonts w:hint="eastAsia" w:ascii="Times New Roman" w:hAnsi="Times New Roman"/>
                <w:szCs w:val="21"/>
                <w:lang w:val="en-US" w:eastAsia="zh-CN"/>
              </w:rPr>
              <w:t>80</w:t>
            </w:r>
            <w:r>
              <w:rPr>
                <w:rFonts w:hint="eastAsia" w:ascii="Times New Roman" w:hAnsi="Times New Roman"/>
                <w:szCs w:val="21"/>
              </w:rPr>
              <w:t>~85</w:t>
            </w:r>
            <w:r>
              <w:rPr>
                <w:rFonts w:ascii="Times New Roman" w:hAnsi="Times New Roman"/>
                <w:szCs w:val="21"/>
              </w:rPr>
              <w:t>dB。项目产生噪声的噪声源强调查清单见表</w:t>
            </w:r>
            <w:r>
              <w:rPr>
                <w:rFonts w:hint="eastAsia" w:ascii="Times New Roman" w:hAnsi="Times New Roman"/>
                <w:szCs w:val="21"/>
              </w:rPr>
              <w:t>4-</w:t>
            </w:r>
            <w:r>
              <w:rPr>
                <w:rFonts w:hint="eastAsia" w:ascii="Times New Roman" w:hAnsi="Times New Roman"/>
                <w:szCs w:val="21"/>
                <w:lang w:val="en-US" w:eastAsia="zh-CN"/>
              </w:rPr>
              <w:t>11</w:t>
            </w:r>
            <w:r>
              <w:rPr>
                <w:rFonts w:hint="eastAsia" w:ascii="Times New Roman" w:hAnsi="Times New Roman"/>
                <w:szCs w:val="21"/>
              </w:rPr>
              <w:t>及</w:t>
            </w:r>
            <w:r>
              <w:rPr>
                <w:rFonts w:ascii="Times New Roman" w:hAnsi="Times New Roman"/>
                <w:szCs w:val="21"/>
              </w:rPr>
              <w:t>表</w:t>
            </w:r>
            <w:r>
              <w:rPr>
                <w:rFonts w:hint="eastAsia" w:ascii="Times New Roman" w:hAnsi="Times New Roman"/>
                <w:szCs w:val="21"/>
              </w:rPr>
              <w:t>4-</w:t>
            </w:r>
            <w:r>
              <w:rPr>
                <w:rFonts w:hint="eastAsia" w:ascii="Times New Roman" w:hAnsi="Times New Roman"/>
                <w:szCs w:val="21"/>
                <w:lang w:val="en-US" w:eastAsia="zh-CN"/>
              </w:rPr>
              <w:t>12。</w:t>
            </w:r>
          </w:p>
          <w:p>
            <w:pPr>
              <w:autoSpaceDE w:val="0"/>
              <w:autoSpaceDN w:val="0"/>
              <w:adjustRightInd w:val="0"/>
              <w:spacing w:line="500" w:lineRule="exact"/>
              <w:jc w:val="center"/>
              <w:rPr>
                <w:rFonts w:hint="eastAsia" w:ascii="Times New Roman" w:hAnsi="Times New Roman" w:eastAsia="宋体" w:cs="Times New Roman"/>
                <w:b/>
                <w:bCs/>
                <w:color w:val="auto"/>
                <w:szCs w:val="21"/>
              </w:rPr>
            </w:pPr>
            <w:r>
              <w:rPr>
                <w:rFonts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rPr>
              <w:t>4-</w:t>
            </w:r>
            <w:r>
              <w:rPr>
                <w:rFonts w:hint="eastAsia" w:cs="Times New Roman"/>
                <w:b/>
                <w:bCs/>
                <w:color w:val="auto"/>
                <w:szCs w:val="21"/>
                <w:lang w:val="en-US" w:eastAsia="zh-CN"/>
              </w:rPr>
              <w:t xml:space="preserve">11 </w:t>
            </w:r>
            <w:r>
              <w:rPr>
                <w:rFonts w:hint="eastAsia" w:ascii="Times New Roman" w:hAnsi="Times New Roman" w:eastAsia="宋体" w:cs="Times New Roman"/>
                <w:b/>
                <w:bCs/>
                <w:color w:val="auto"/>
                <w:szCs w:val="21"/>
              </w:rPr>
              <w:t>工业企业噪声源强调查清单（室内）</w:t>
            </w:r>
          </w:p>
          <w:tbl>
            <w:tblPr>
              <w:tblStyle w:val="11"/>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5"/>
              <w:gridCol w:w="742"/>
              <w:gridCol w:w="1155"/>
              <w:gridCol w:w="1198"/>
              <w:gridCol w:w="1005"/>
              <w:gridCol w:w="763"/>
              <w:gridCol w:w="643"/>
              <w:gridCol w:w="643"/>
              <w:gridCol w:w="619"/>
              <w:gridCol w:w="795"/>
              <w:gridCol w:w="887"/>
              <w:gridCol w:w="660"/>
              <w:gridCol w:w="1035"/>
              <w:gridCol w:w="1050"/>
              <w:gridCol w:w="990"/>
              <w:gridCol w:w="6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8" w:type="pct"/>
                  <w:vMerge w:val="restart"/>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序号</w:t>
                  </w:r>
                </w:p>
              </w:tc>
              <w:tc>
                <w:tcPr>
                  <w:tcW w:w="279" w:type="pct"/>
                  <w:vMerge w:val="restart"/>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建筑物名称</w:t>
                  </w:r>
                </w:p>
              </w:tc>
              <w:tc>
                <w:tcPr>
                  <w:tcW w:w="435" w:type="pct"/>
                  <w:vMerge w:val="restart"/>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声源名称</w:t>
                  </w:r>
                </w:p>
              </w:tc>
              <w:tc>
                <w:tcPr>
                  <w:tcW w:w="829" w:type="pct"/>
                  <w:gridSpan w:val="2"/>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声源源强（任选一种）</w:t>
                  </w:r>
                </w:p>
              </w:tc>
              <w:tc>
                <w:tcPr>
                  <w:tcW w:w="287" w:type="pct"/>
                  <w:vMerge w:val="restart"/>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声源控制措施</w:t>
                  </w:r>
                </w:p>
              </w:tc>
              <w:tc>
                <w:tcPr>
                  <w:tcW w:w="717" w:type="pct"/>
                  <w:gridSpan w:val="3"/>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空间相对位置/m</w:t>
                  </w:r>
                </w:p>
              </w:tc>
              <w:tc>
                <w:tcPr>
                  <w:tcW w:w="299" w:type="pct"/>
                  <w:vMerge w:val="restart"/>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距室内边界距离/m</w:t>
                  </w:r>
                </w:p>
              </w:tc>
              <w:tc>
                <w:tcPr>
                  <w:tcW w:w="334" w:type="pct"/>
                  <w:vMerge w:val="restart"/>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室内边界声级/dB(A)</w:t>
                  </w:r>
                </w:p>
              </w:tc>
              <w:tc>
                <w:tcPr>
                  <w:tcW w:w="248" w:type="pct"/>
                  <w:vMerge w:val="restart"/>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运行时段</w:t>
                  </w:r>
                </w:p>
              </w:tc>
              <w:tc>
                <w:tcPr>
                  <w:tcW w:w="389" w:type="pct"/>
                  <w:vMerge w:val="restart"/>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建筑物插入损失/dB(A)</w:t>
                  </w:r>
                </w:p>
              </w:tc>
              <w:tc>
                <w:tcPr>
                  <w:tcW w:w="768" w:type="pct"/>
                  <w:gridSpan w:val="2"/>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建筑物外噪声</w:t>
                  </w:r>
                </w:p>
              </w:tc>
              <w:tc>
                <w:tcPr>
                  <w:tcW w:w="261" w:type="pct"/>
                  <w:vMerge w:val="restart"/>
                  <w:noWrap w:val="0"/>
                  <w:vAlign w:val="center"/>
                </w:tcPr>
                <w:p>
                  <w:pPr>
                    <w:pStyle w:val="19"/>
                    <w:spacing w:beforeLines="0" w:afterLines="0" w:line="240" w:lineRule="auto"/>
                    <w:rPr>
                      <w:rFonts w:hint="default" w:ascii="Times New Roman" w:eastAsia="宋体"/>
                      <w:b/>
                      <w:bCs/>
                      <w:color w:val="auto"/>
                      <w:sz w:val="18"/>
                      <w:szCs w:val="18"/>
                      <w:lang w:val="en-US" w:eastAsia="zh-CN"/>
                    </w:rPr>
                  </w:pPr>
                  <w:r>
                    <w:rPr>
                      <w:rFonts w:ascii="Times New Roman" w:hAnsi="Times New Roman"/>
                      <w:b/>
                      <w:bCs/>
                      <w:sz w:val="18"/>
                      <w:szCs w:val="18"/>
                    </w:rPr>
                    <w:t>噪声持续时间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8" w:type="pct"/>
                  <w:vMerge w:val="continue"/>
                  <w:shd w:val="clear" w:color="auto" w:fill="FFFFFF"/>
                  <w:noWrap w:val="0"/>
                  <w:vAlign w:val="center"/>
                </w:tcPr>
                <w:p>
                  <w:pPr>
                    <w:pStyle w:val="19"/>
                    <w:spacing w:beforeLines="0" w:afterLines="0" w:line="240" w:lineRule="auto"/>
                    <w:rPr>
                      <w:rFonts w:ascii="Times New Roman"/>
                      <w:b/>
                      <w:bCs/>
                      <w:color w:val="auto"/>
                      <w:sz w:val="18"/>
                      <w:szCs w:val="18"/>
                    </w:rPr>
                  </w:pPr>
                </w:p>
              </w:tc>
              <w:tc>
                <w:tcPr>
                  <w:tcW w:w="279" w:type="pct"/>
                  <w:vMerge w:val="continue"/>
                  <w:shd w:val="clear" w:color="auto" w:fill="FFFFFF"/>
                  <w:noWrap w:val="0"/>
                  <w:vAlign w:val="center"/>
                </w:tcPr>
                <w:p>
                  <w:pPr>
                    <w:pStyle w:val="19"/>
                    <w:spacing w:beforeLines="0" w:afterLines="0" w:line="240" w:lineRule="auto"/>
                    <w:rPr>
                      <w:rFonts w:ascii="Times New Roman"/>
                      <w:b/>
                      <w:bCs/>
                      <w:color w:val="auto"/>
                      <w:sz w:val="18"/>
                      <w:szCs w:val="18"/>
                    </w:rPr>
                  </w:pPr>
                </w:p>
              </w:tc>
              <w:tc>
                <w:tcPr>
                  <w:tcW w:w="435" w:type="pct"/>
                  <w:vMerge w:val="continue"/>
                  <w:shd w:val="clear" w:color="auto" w:fill="FFFFFF"/>
                  <w:noWrap w:val="0"/>
                  <w:vAlign w:val="center"/>
                </w:tcPr>
                <w:p>
                  <w:pPr>
                    <w:pStyle w:val="19"/>
                    <w:spacing w:beforeLines="0" w:afterLines="0" w:line="240" w:lineRule="auto"/>
                    <w:rPr>
                      <w:rFonts w:ascii="Times New Roman"/>
                      <w:b/>
                      <w:bCs/>
                      <w:color w:val="auto"/>
                      <w:sz w:val="18"/>
                      <w:szCs w:val="18"/>
                    </w:rPr>
                  </w:pPr>
                </w:p>
              </w:tc>
              <w:tc>
                <w:tcPr>
                  <w:tcW w:w="451" w:type="pct"/>
                  <w:shd w:val="clear" w:color="auto" w:fill="FFFFFF"/>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（声压级/距声源距离）/（dB(A)/m）</w:t>
                  </w:r>
                </w:p>
              </w:tc>
              <w:tc>
                <w:tcPr>
                  <w:tcW w:w="378" w:type="pct"/>
                  <w:shd w:val="clear" w:color="auto" w:fill="FFFFFF"/>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声功率级/dB(A)</w:t>
                  </w:r>
                </w:p>
              </w:tc>
              <w:tc>
                <w:tcPr>
                  <w:tcW w:w="287" w:type="pct"/>
                  <w:vMerge w:val="continue"/>
                  <w:shd w:val="clear" w:color="auto" w:fill="FFFFFF"/>
                  <w:noWrap w:val="0"/>
                  <w:vAlign w:val="center"/>
                </w:tcPr>
                <w:p>
                  <w:pPr>
                    <w:pStyle w:val="19"/>
                    <w:spacing w:beforeLines="0" w:afterLines="0" w:line="240" w:lineRule="auto"/>
                    <w:rPr>
                      <w:rFonts w:ascii="Times New Roman"/>
                      <w:b/>
                      <w:bCs/>
                      <w:color w:val="auto"/>
                      <w:sz w:val="18"/>
                      <w:szCs w:val="18"/>
                    </w:rPr>
                  </w:pPr>
                </w:p>
              </w:tc>
              <w:tc>
                <w:tcPr>
                  <w:tcW w:w="242" w:type="pct"/>
                  <w:shd w:val="clear" w:color="auto" w:fill="FFFFFF"/>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X</w:t>
                  </w:r>
                </w:p>
              </w:tc>
              <w:tc>
                <w:tcPr>
                  <w:tcW w:w="242" w:type="pct"/>
                  <w:shd w:val="clear" w:color="auto" w:fill="FFFFFF"/>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Y</w:t>
                  </w:r>
                </w:p>
              </w:tc>
              <w:tc>
                <w:tcPr>
                  <w:tcW w:w="233" w:type="pct"/>
                  <w:shd w:val="clear" w:color="auto" w:fill="FFFFFF"/>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Z</w:t>
                  </w:r>
                </w:p>
              </w:tc>
              <w:tc>
                <w:tcPr>
                  <w:tcW w:w="299" w:type="pct"/>
                  <w:vMerge w:val="continue"/>
                  <w:shd w:val="clear" w:color="auto" w:fill="FFFFFF"/>
                  <w:noWrap w:val="0"/>
                  <w:vAlign w:val="center"/>
                </w:tcPr>
                <w:p>
                  <w:pPr>
                    <w:pStyle w:val="19"/>
                    <w:spacing w:beforeLines="0" w:afterLines="0" w:line="240" w:lineRule="auto"/>
                    <w:rPr>
                      <w:rFonts w:ascii="Times New Roman"/>
                      <w:b/>
                      <w:bCs/>
                      <w:color w:val="auto"/>
                      <w:sz w:val="18"/>
                      <w:szCs w:val="18"/>
                    </w:rPr>
                  </w:pPr>
                </w:p>
              </w:tc>
              <w:tc>
                <w:tcPr>
                  <w:tcW w:w="334" w:type="pct"/>
                  <w:vMerge w:val="continue"/>
                  <w:shd w:val="clear" w:color="auto" w:fill="FFFFFF"/>
                  <w:noWrap w:val="0"/>
                  <w:vAlign w:val="center"/>
                </w:tcPr>
                <w:p>
                  <w:pPr>
                    <w:pStyle w:val="19"/>
                    <w:spacing w:beforeLines="0" w:afterLines="0" w:line="240" w:lineRule="auto"/>
                    <w:rPr>
                      <w:rFonts w:ascii="Times New Roman"/>
                      <w:b/>
                      <w:bCs/>
                      <w:color w:val="auto"/>
                      <w:sz w:val="18"/>
                      <w:szCs w:val="18"/>
                    </w:rPr>
                  </w:pPr>
                </w:p>
              </w:tc>
              <w:tc>
                <w:tcPr>
                  <w:tcW w:w="248" w:type="pct"/>
                  <w:vMerge w:val="continue"/>
                  <w:shd w:val="clear" w:color="auto" w:fill="FFFFFF"/>
                  <w:noWrap w:val="0"/>
                  <w:vAlign w:val="center"/>
                </w:tcPr>
                <w:p>
                  <w:pPr>
                    <w:pStyle w:val="19"/>
                    <w:spacing w:beforeLines="0" w:afterLines="0" w:line="240" w:lineRule="auto"/>
                    <w:rPr>
                      <w:rFonts w:ascii="Times New Roman"/>
                      <w:b/>
                      <w:bCs/>
                      <w:color w:val="auto"/>
                      <w:sz w:val="18"/>
                      <w:szCs w:val="18"/>
                    </w:rPr>
                  </w:pPr>
                </w:p>
              </w:tc>
              <w:tc>
                <w:tcPr>
                  <w:tcW w:w="389" w:type="pct"/>
                  <w:vMerge w:val="continue"/>
                  <w:shd w:val="clear" w:color="auto" w:fill="FFFFFF"/>
                  <w:noWrap w:val="0"/>
                  <w:vAlign w:val="center"/>
                </w:tcPr>
                <w:p>
                  <w:pPr>
                    <w:pStyle w:val="19"/>
                    <w:spacing w:beforeLines="0" w:afterLines="0" w:line="240" w:lineRule="auto"/>
                    <w:rPr>
                      <w:rFonts w:ascii="Times New Roman"/>
                      <w:b/>
                      <w:bCs/>
                      <w:color w:val="auto"/>
                      <w:sz w:val="18"/>
                      <w:szCs w:val="18"/>
                    </w:rPr>
                  </w:pPr>
                </w:p>
              </w:tc>
              <w:tc>
                <w:tcPr>
                  <w:tcW w:w="395" w:type="pct"/>
                  <w:shd w:val="clear" w:color="auto" w:fill="FFFFFF"/>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声压级/dB(A)</w:t>
                  </w:r>
                </w:p>
              </w:tc>
              <w:tc>
                <w:tcPr>
                  <w:tcW w:w="372" w:type="pct"/>
                  <w:shd w:val="clear" w:color="auto" w:fill="FFFFFF"/>
                  <w:noWrap w:val="0"/>
                  <w:vAlign w:val="center"/>
                </w:tcPr>
                <w:p>
                  <w:pPr>
                    <w:pStyle w:val="19"/>
                    <w:spacing w:beforeLines="0" w:afterLines="0" w:line="240" w:lineRule="auto"/>
                    <w:rPr>
                      <w:rFonts w:ascii="Times New Roman"/>
                      <w:b/>
                      <w:bCs/>
                      <w:color w:val="auto"/>
                      <w:sz w:val="18"/>
                      <w:szCs w:val="18"/>
                    </w:rPr>
                  </w:pPr>
                  <w:r>
                    <w:rPr>
                      <w:rFonts w:ascii="Times New Roman"/>
                      <w:b/>
                      <w:bCs/>
                      <w:color w:val="auto"/>
                      <w:sz w:val="18"/>
                      <w:szCs w:val="18"/>
                    </w:rPr>
                    <w:t>建筑物外距离</w:t>
                  </w:r>
                  <w:r>
                    <w:rPr>
                      <w:rFonts w:hint="eastAsia" w:ascii="Times New Roman"/>
                      <w:b/>
                      <w:bCs/>
                      <w:color w:val="auto"/>
                      <w:sz w:val="18"/>
                      <w:szCs w:val="18"/>
                    </w:rPr>
                    <w:t>/m</w:t>
                  </w:r>
                </w:p>
              </w:tc>
              <w:tc>
                <w:tcPr>
                  <w:tcW w:w="261" w:type="pct"/>
                  <w:vMerge w:val="continue"/>
                  <w:shd w:val="clear" w:color="auto" w:fill="FFFFFF"/>
                  <w:noWrap w:val="0"/>
                  <w:vAlign w:val="center"/>
                </w:tcPr>
                <w:p>
                  <w:pPr>
                    <w:pStyle w:val="19"/>
                    <w:spacing w:beforeLines="0" w:afterLines="0" w:line="240" w:lineRule="auto"/>
                    <w:rPr>
                      <w:rFonts w:ascii="Times New Roman"/>
                      <w:b/>
                      <w:bCs/>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8" w:type="pct"/>
                  <w:shd w:val="clear" w:color="auto" w:fill="FFFFFF"/>
                  <w:noWrap w:val="0"/>
                  <w:vAlign w:val="center"/>
                </w:tcPr>
                <w:p>
                  <w:pPr>
                    <w:pStyle w:val="19"/>
                    <w:spacing w:beforeLines="0" w:afterLines="0" w:line="240" w:lineRule="auto"/>
                    <w:rPr>
                      <w:rFonts w:hint="eastAsia" w:ascii="Times New Roman" w:eastAsia="宋体"/>
                      <w:color w:val="auto"/>
                      <w:sz w:val="18"/>
                      <w:szCs w:val="18"/>
                      <w:lang w:val="en-US" w:eastAsia="zh-CN"/>
                    </w:rPr>
                  </w:pPr>
                  <w:r>
                    <w:rPr>
                      <w:rFonts w:hint="eastAsia" w:ascii="Times New Roman"/>
                      <w:color w:val="auto"/>
                      <w:sz w:val="18"/>
                      <w:szCs w:val="18"/>
                      <w:lang w:val="en-US" w:eastAsia="zh-CN"/>
                    </w:rPr>
                    <w:t>1</w:t>
                  </w:r>
                </w:p>
              </w:tc>
              <w:tc>
                <w:tcPr>
                  <w:tcW w:w="279" w:type="pct"/>
                  <w:vMerge w:val="restart"/>
                  <w:shd w:val="clear" w:color="auto" w:fill="FFFFFF"/>
                  <w:noWrap w:val="0"/>
                  <w:vAlign w:val="center"/>
                </w:tcPr>
                <w:p>
                  <w:pPr>
                    <w:jc w:val="center"/>
                    <w:rPr>
                      <w:rFonts w:hint="default" w:ascii="Times New Roman" w:eastAsia="宋体"/>
                      <w:color w:val="auto"/>
                      <w:sz w:val="18"/>
                      <w:szCs w:val="18"/>
                      <w:lang w:val="en-US" w:eastAsia="zh-CN"/>
                    </w:rPr>
                  </w:pPr>
                  <w:r>
                    <w:rPr>
                      <w:rFonts w:hint="eastAsia" w:ascii="Times New Roman" w:eastAsia="宋体"/>
                      <w:color w:val="auto"/>
                      <w:sz w:val="18"/>
                      <w:szCs w:val="18"/>
                      <w:lang w:val="en-US" w:eastAsia="zh-CN"/>
                    </w:rPr>
                    <w:t>水洗车间一</w:t>
                  </w:r>
                </w:p>
              </w:tc>
              <w:tc>
                <w:tcPr>
                  <w:tcW w:w="435" w:type="pct"/>
                  <w:shd w:val="clear" w:color="auto" w:fill="FFFFFF"/>
                  <w:noWrap w:val="0"/>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sz w:val="18"/>
                      <w:szCs w:val="18"/>
                    </w:rPr>
                    <w:t>洗衣机</w:t>
                  </w:r>
                </w:p>
              </w:tc>
              <w:tc>
                <w:tcPr>
                  <w:tcW w:w="451" w:type="pct"/>
                  <w:shd w:val="clear" w:color="auto" w:fill="FFFFFF"/>
                  <w:noWrap w:val="0"/>
                  <w:vAlign w:val="center"/>
                </w:tcPr>
                <w:p>
                  <w:pPr>
                    <w:spacing w:beforeLines="0" w:afterLines="0" w:line="240" w:lineRule="auto"/>
                    <w:jc w:val="center"/>
                    <w:rPr>
                      <w:rFonts w:hint="eastAsia" w:ascii="Times New Roman"/>
                      <w:color w:val="auto"/>
                      <w:sz w:val="18"/>
                      <w:szCs w:val="18"/>
                    </w:rPr>
                  </w:pPr>
                  <w:r>
                    <w:rPr>
                      <w:rFonts w:hint="eastAsia" w:ascii="Times New Roman"/>
                      <w:color w:val="auto"/>
                      <w:sz w:val="18"/>
                      <w:szCs w:val="18"/>
                      <w:lang w:val="en-US" w:eastAsia="zh-CN"/>
                    </w:rPr>
                    <w:t>/</w:t>
                  </w:r>
                </w:p>
              </w:tc>
              <w:tc>
                <w:tcPr>
                  <w:tcW w:w="378" w:type="pct"/>
                  <w:shd w:val="clear" w:color="auto" w:fill="FFFFFF"/>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85</w:t>
                  </w:r>
                </w:p>
              </w:tc>
              <w:tc>
                <w:tcPr>
                  <w:tcW w:w="287" w:type="pct"/>
                  <w:vMerge w:val="continue"/>
                  <w:shd w:val="clear" w:color="auto" w:fill="FFFFFF"/>
                  <w:noWrap w:val="0"/>
                  <w:vAlign w:val="center"/>
                </w:tcPr>
                <w:p>
                  <w:pPr>
                    <w:pStyle w:val="19"/>
                    <w:spacing w:beforeLines="0" w:afterLines="0" w:line="240" w:lineRule="auto"/>
                    <w:rPr>
                      <w:rFonts w:ascii="Times New Roman"/>
                      <w:color w:val="auto"/>
                      <w:sz w:val="18"/>
                      <w:szCs w:val="18"/>
                    </w:rPr>
                  </w:pPr>
                </w:p>
              </w:tc>
              <w:tc>
                <w:tcPr>
                  <w:tcW w:w="242"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20</w:t>
                  </w:r>
                </w:p>
              </w:tc>
              <w:tc>
                <w:tcPr>
                  <w:tcW w:w="242"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12</w:t>
                  </w:r>
                </w:p>
              </w:tc>
              <w:tc>
                <w:tcPr>
                  <w:tcW w:w="233" w:type="pct"/>
                  <w:shd w:val="clear" w:color="auto" w:fill="FFFFFF"/>
                  <w:noWrap w:val="0"/>
                  <w:vAlign w:val="center"/>
                </w:tcPr>
                <w:p>
                  <w:pPr>
                    <w:pStyle w:val="19"/>
                    <w:spacing w:beforeLines="0" w:afterLines="0" w:line="240" w:lineRule="auto"/>
                    <w:rPr>
                      <w:rFonts w:hint="default"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1</w:t>
                  </w:r>
                </w:p>
              </w:tc>
              <w:tc>
                <w:tcPr>
                  <w:tcW w:w="299" w:type="pct"/>
                  <w:shd w:val="clear" w:color="auto" w:fill="FFFFFF"/>
                  <w:noWrap w:val="0"/>
                  <w:vAlign w:val="center"/>
                </w:tcPr>
                <w:p>
                  <w:pPr>
                    <w:pStyle w:val="19"/>
                    <w:spacing w:beforeLines="0" w:afterLines="0" w:line="240" w:lineRule="auto"/>
                    <w:rPr>
                      <w:rFonts w:hint="default" w:ascii="Times New Roman" w:eastAsia="宋体"/>
                      <w:color w:val="auto"/>
                      <w:sz w:val="18"/>
                      <w:szCs w:val="18"/>
                      <w:lang w:val="en-US" w:eastAsia="zh-CN"/>
                    </w:rPr>
                  </w:pPr>
                  <w:r>
                    <w:rPr>
                      <w:rFonts w:hint="eastAsia" w:ascii="Times New Roman"/>
                      <w:color w:val="auto"/>
                      <w:sz w:val="18"/>
                      <w:szCs w:val="18"/>
                      <w:lang w:val="en-US" w:eastAsia="zh-CN"/>
                    </w:rPr>
                    <w:t>S12</w:t>
                  </w:r>
                </w:p>
              </w:tc>
              <w:tc>
                <w:tcPr>
                  <w:tcW w:w="334" w:type="pct"/>
                  <w:shd w:val="clear" w:color="auto" w:fill="FFFFFF"/>
                  <w:noWrap w:val="0"/>
                  <w:vAlign w:val="bottom"/>
                </w:tcPr>
                <w:p>
                  <w:pPr>
                    <w:keepNext w:val="0"/>
                    <w:keepLines w:val="0"/>
                    <w:widowControl/>
                    <w:suppressLineNumbers w:val="0"/>
                    <w:jc w:val="center"/>
                    <w:textAlignment w:val="bottom"/>
                    <w:rPr>
                      <w:rFonts w:hint="default" w:ascii="Times New Roman" w:hAnsi="Calibri" w:eastAsia="宋体" w:cs="Times New Roman"/>
                      <w:color w:val="auto"/>
                      <w:kern w:val="0"/>
                      <w:sz w:val="18"/>
                      <w:szCs w:val="18"/>
                      <w:lang w:val="en-US" w:eastAsia="zh-CN" w:bidi="ar-SA"/>
                    </w:rPr>
                  </w:pPr>
                  <w:r>
                    <w:rPr>
                      <w:rFonts w:hint="eastAsia" w:ascii="Times New Roman" w:hAnsi="Calibri" w:eastAsia="宋体" w:cs="Times New Roman"/>
                      <w:color w:val="auto"/>
                      <w:kern w:val="0"/>
                      <w:sz w:val="18"/>
                      <w:szCs w:val="18"/>
                      <w:lang w:val="en-US" w:eastAsia="zh-CN" w:bidi="ar-SA"/>
                    </w:rPr>
                    <w:t xml:space="preserve">63.4 </w:t>
                  </w:r>
                </w:p>
              </w:tc>
              <w:tc>
                <w:tcPr>
                  <w:tcW w:w="248" w:type="pct"/>
                  <w:shd w:val="clear" w:color="auto" w:fill="FFFFFF"/>
                  <w:noWrap w:val="0"/>
                  <w:vAlign w:val="center"/>
                </w:tcPr>
                <w:p>
                  <w:pPr>
                    <w:pStyle w:val="19"/>
                    <w:spacing w:beforeLines="0" w:afterLines="0" w:line="240" w:lineRule="auto"/>
                    <w:rPr>
                      <w:rFonts w:hint="eastAsia" w:ascii="Times New Roman"/>
                      <w:color w:val="auto"/>
                      <w:sz w:val="18"/>
                      <w:szCs w:val="18"/>
                    </w:rPr>
                  </w:pPr>
                  <w:r>
                    <w:rPr>
                      <w:rFonts w:hint="eastAsia" w:ascii="Times New Roman"/>
                      <w:color w:val="auto"/>
                      <w:sz w:val="18"/>
                      <w:szCs w:val="18"/>
                    </w:rPr>
                    <w:t>昼</w:t>
                  </w:r>
                </w:p>
              </w:tc>
              <w:tc>
                <w:tcPr>
                  <w:tcW w:w="389" w:type="pct"/>
                  <w:shd w:val="clear" w:color="auto" w:fill="FFFFFF"/>
                  <w:noWrap w:val="0"/>
                  <w:vAlign w:val="center"/>
                </w:tcPr>
                <w:p>
                  <w:pPr>
                    <w:pStyle w:val="19"/>
                    <w:spacing w:beforeLines="0" w:afterLines="0" w:line="240" w:lineRule="auto"/>
                    <w:rPr>
                      <w:rFonts w:hint="eastAsia" w:ascii="Times New Roman"/>
                      <w:color w:val="auto"/>
                      <w:sz w:val="18"/>
                      <w:szCs w:val="18"/>
                    </w:rPr>
                  </w:pPr>
                  <w:r>
                    <w:rPr>
                      <w:rFonts w:hint="eastAsia" w:ascii="Times New Roman"/>
                      <w:color w:val="auto"/>
                      <w:sz w:val="18"/>
                      <w:szCs w:val="18"/>
                    </w:rPr>
                    <w:t>20</w:t>
                  </w:r>
                </w:p>
              </w:tc>
              <w:tc>
                <w:tcPr>
                  <w:tcW w:w="395" w:type="pct"/>
                  <w:shd w:val="clear" w:color="auto" w:fill="FFFFFF"/>
                  <w:noWrap w:val="0"/>
                  <w:vAlign w:val="bottom"/>
                </w:tcPr>
                <w:p>
                  <w:pPr>
                    <w:keepNext w:val="0"/>
                    <w:keepLines w:val="0"/>
                    <w:widowControl/>
                    <w:suppressLineNumbers w:val="0"/>
                    <w:jc w:val="center"/>
                    <w:textAlignment w:val="bottom"/>
                    <w:rPr>
                      <w:rFonts w:hint="default" w:ascii="Times New Roman" w:eastAsia="宋体"/>
                      <w:color w:val="auto"/>
                      <w:sz w:val="18"/>
                      <w:szCs w:val="18"/>
                      <w:lang w:val="en-US" w:eastAsia="zh-CN"/>
                    </w:rPr>
                  </w:pPr>
                  <w:r>
                    <w:rPr>
                      <w:rFonts w:hint="eastAsia" w:ascii="Times New Roman" w:hAnsi="Calibri" w:eastAsia="宋体" w:cs="Times New Roman"/>
                      <w:color w:val="auto"/>
                      <w:kern w:val="0"/>
                      <w:sz w:val="18"/>
                      <w:szCs w:val="18"/>
                      <w:lang w:val="en-US" w:eastAsia="zh-CN" w:bidi="ar-SA"/>
                    </w:rPr>
                    <w:t xml:space="preserve">43.4 </w:t>
                  </w:r>
                </w:p>
              </w:tc>
              <w:tc>
                <w:tcPr>
                  <w:tcW w:w="372" w:type="pct"/>
                  <w:shd w:val="clear" w:color="auto" w:fill="FFFFFF"/>
                  <w:noWrap w:val="0"/>
                  <w:vAlign w:val="center"/>
                </w:tcPr>
                <w:p>
                  <w:pPr>
                    <w:jc w:val="center"/>
                    <w:rPr>
                      <w:rFonts w:hint="eastAsia" w:ascii="Times New Roman" w:eastAsia="宋体"/>
                      <w:color w:val="auto"/>
                      <w:sz w:val="18"/>
                      <w:szCs w:val="18"/>
                      <w:lang w:val="en-US" w:eastAsia="zh-CN"/>
                    </w:rPr>
                  </w:pPr>
                  <w:r>
                    <w:rPr>
                      <w:sz w:val="18"/>
                      <w:szCs w:val="18"/>
                    </w:rPr>
                    <w:t>1</w:t>
                  </w:r>
                </w:p>
              </w:tc>
              <w:tc>
                <w:tcPr>
                  <w:tcW w:w="261" w:type="pct"/>
                  <w:vMerge w:val="restart"/>
                  <w:shd w:val="clear" w:color="auto" w:fill="FFFFFF"/>
                  <w:noWrap w:val="0"/>
                  <w:vAlign w:val="center"/>
                </w:tcPr>
                <w:p>
                  <w:pPr>
                    <w:jc w:val="center"/>
                    <w:rPr>
                      <w:sz w:val="18"/>
                      <w:szCs w:val="18"/>
                    </w:rPr>
                  </w:pPr>
                  <w:r>
                    <w:rPr>
                      <w:sz w:val="18"/>
                      <w:szCs w:val="18"/>
                    </w:rPr>
                    <w:t>≤</w:t>
                  </w:r>
                  <w:r>
                    <w:rPr>
                      <w:rFonts w:hint="eastAsia"/>
                      <w:sz w:val="18"/>
                      <w:szCs w:val="18"/>
                    </w:rPr>
                    <w:t>2400</w:t>
                  </w:r>
                  <w:r>
                    <w:rPr>
                      <w:sz w:val="18"/>
                      <w:szCs w:val="18"/>
                    </w:rPr>
                    <w:t>h/a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8"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279" w:type="pct"/>
                  <w:vMerge w:val="continue"/>
                  <w:shd w:val="clear" w:color="auto" w:fill="FFFFFF"/>
                  <w:noWrap w:val="0"/>
                  <w:vAlign w:val="center"/>
                </w:tcPr>
                <w:p>
                  <w:pPr>
                    <w:jc w:val="center"/>
                    <w:rPr>
                      <w:rFonts w:hint="eastAsia" w:ascii="Times New Roman"/>
                      <w:color w:val="auto"/>
                      <w:sz w:val="18"/>
                      <w:szCs w:val="18"/>
                      <w:lang w:val="en-US" w:eastAsia="zh-CN"/>
                    </w:rPr>
                  </w:pPr>
                </w:p>
              </w:tc>
              <w:tc>
                <w:tcPr>
                  <w:tcW w:w="435" w:type="pct"/>
                  <w:shd w:val="clear" w:color="auto" w:fill="FFFFFF"/>
                  <w:noWrap w:val="0"/>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sz w:val="18"/>
                      <w:szCs w:val="18"/>
                    </w:rPr>
                    <w:t>脱水机</w:t>
                  </w:r>
                </w:p>
              </w:tc>
              <w:tc>
                <w:tcPr>
                  <w:tcW w:w="451" w:type="pct"/>
                  <w:shd w:val="clear" w:color="auto" w:fill="FFFFFF"/>
                  <w:noWrap w:val="0"/>
                  <w:vAlign w:val="center"/>
                </w:tcPr>
                <w:p>
                  <w:pPr>
                    <w:spacing w:beforeLines="0" w:afterLines="0" w:line="240" w:lineRule="auto"/>
                    <w:jc w:val="center"/>
                    <w:rPr>
                      <w:rFonts w:hint="eastAsia" w:ascii="Times New Roman"/>
                      <w:color w:val="auto"/>
                      <w:sz w:val="18"/>
                      <w:szCs w:val="18"/>
                      <w:lang w:val="en-US" w:eastAsia="zh-CN"/>
                    </w:rPr>
                  </w:pPr>
                  <w:r>
                    <w:rPr>
                      <w:rFonts w:hint="eastAsia" w:ascii="Times New Roman"/>
                      <w:color w:val="auto"/>
                      <w:sz w:val="18"/>
                      <w:szCs w:val="18"/>
                      <w:lang w:val="en-US" w:eastAsia="zh-CN"/>
                    </w:rPr>
                    <w:t>/</w:t>
                  </w:r>
                </w:p>
              </w:tc>
              <w:tc>
                <w:tcPr>
                  <w:tcW w:w="378" w:type="pct"/>
                  <w:shd w:val="clear" w:color="auto" w:fill="FFFFFF"/>
                  <w:noWrap w:val="0"/>
                  <w:vAlign w:val="center"/>
                </w:tcPr>
                <w:p>
                  <w:pPr>
                    <w:jc w:val="center"/>
                    <w:rPr>
                      <w:rFonts w:hint="default"/>
                      <w:color w:val="auto"/>
                      <w:sz w:val="18"/>
                      <w:szCs w:val="18"/>
                      <w:lang w:val="en-US" w:eastAsia="zh-CN"/>
                    </w:rPr>
                  </w:pPr>
                  <w:r>
                    <w:rPr>
                      <w:rFonts w:hint="eastAsia"/>
                      <w:color w:val="auto"/>
                      <w:sz w:val="18"/>
                      <w:szCs w:val="18"/>
                      <w:lang w:val="en-US" w:eastAsia="zh-CN"/>
                    </w:rPr>
                    <w:t>85</w:t>
                  </w:r>
                </w:p>
              </w:tc>
              <w:tc>
                <w:tcPr>
                  <w:tcW w:w="287" w:type="pct"/>
                  <w:vMerge w:val="continue"/>
                  <w:shd w:val="clear" w:color="auto" w:fill="FFFFFF"/>
                  <w:noWrap w:val="0"/>
                  <w:vAlign w:val="center"/>
                </w:tcPr>
                <w:p>
                  <w:pPr>
                    <w:pStyle w:val="19"/>
                    <w:spacing w:beforeLines="0" w:afterLines="0" w:line="240" w:lineRule="auto"/>
                    <w:rPr>
                      <w:rFonts w:ascii="Times New Roman"/>
                      <w:color w:val="auto"/>
                      <w:sz w:val="18"/>
                      <w:szCs w:val="18"/>
                    </w:rPr>
                  </w:pPr>
                </w:p>
              </w:tc>
              <w:tc>
                <w:tcPr>
                  <w:tcW w:w="242"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25</w:t>
                  </w:r>
                </w:p>
              </w:tc>
              <w:tc>
                <w:tcPr>
                  <w:tcW w:w="242"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7</w:t>
                  </w:r>
                </w:p>
              </w:tc>
              <w:tc>
                <w:tcPr>
                  <w:tcW w:w="233" w:type="pct"/>
                  <w:shd w:val="clear" w:color="auto" w:fill="FFFFFF"/>
                  <w:noWrap w:val="0"/>
                  <w:vAlign w:val="center"/>
                </w:tcPr>
                <w:p>
                  <w:pPr>
                    <w:pStyle w:val="19"/>
                    <w:spacing w:beforeLines="0" w:afterLines="0" w:line="240" w:lineRule="auto"/>
                    <w:rPr>
                      <w:rFonts w:hint="default" w:ascii="Times New Roman" w:cs="Times New Roman"/>
                      <w:color w:val="auto"/>
                      <w:sz w:val="18"/>
                      <w:szCs w:val="18"/>
                      <w:lang w:val="en-US" w:eastAsia="zh-CN"/>
                    </w:rPr>
                  </w:pPr>
                  <w:r>
                    <w:rPr>
                      <w:rFonts w:hint="eastAsia" w:ascii="Times New Roman" w:cs="Times New Roman"/>
                      <w:color w:val="auto"/>
                      <w:sz w:val="18"/>
                      <w:szCs w:val="18"/>
                      <w:lang w:val="en-US" w:eastAsia="zh-CN"/>
                    </w:rPr>
                    <w:t>1</w:t>
                  </w:r>
                </w:p>
              </w:tc>
              <w:tc>
                <w:tcPr>
                  <w:tcW w:w="299"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S7</w:t>
                  </w:r>
                </w:p>
              </w:tc>
              <w:tc>
                <w:tcPr>
                  <w:tcW w:w="334" w:type="pct"/>
                  <w:shd w:val="clear" w:color="auto" w:fill="FFFFFF"/>
                  <w:noWrap w:val="0"/>
                  <w:vAlign w:val="bottom"/>
                </w:tcPr>
                <w:p>
                  <w:pPr>
                    <w:keepNext w:val="0"/>
                    <w:keepLines w:val="0"/>
                    <w:widowControl/>
                    <w:suppressLineNumbers w:val="0"/>
                    <w:jc w:val="center"/>
                    <w:textAlignment w:val="bottom"/>
                    <w:rPr>
                      <w:rFonts w:hint="eastAsia" w:ascii="Times New Roman" w:hAnsi="Calibri" w:eastAsia="宋体" w:cs="Times New Roman"/>
                      <w:color w:val="auto"/>
                      <w:kern w:val="0"/>
                      <w:sz w:val="18"/>
                      <w:szCs w:val="18"/>
                      <w:lang w:val="en-US" w:eastAsia="zh-CN" w:bidi="ar-SA"/>
                    </w:rPr>
                  </w:pPr>
                  <w:r>
                    <w:rPr>
                      <w:rFonts w:hint="eastAsia" w:ascii="Times New Roman" w:hAnsi="Calibri" w:eastAsia="宋体" w:cs="Times New Roman"/>
                      <w:color w:val="auto"/>
                      <w:kern w:val="0"/>
                      <w:sz w:val="18"/>
                      <w:szCs w:val="18"/>
                      <w:lang w:val="en-US" w:eastAsia="zh-CN" w:bidi="ar-SA"/>
                    </w:rPr>
                    <w:t xml:space="preserve">68.1 </w:t>
                  </w:r>
                </w:p>
              </w:tc>
              <w:tc>
                <w:tcPr>
                  <w:tcW w:w="248" w:type="pct"/>
                  <w:shd w:val="clear" w:color="auto" w:fill="FFFFFF"/>
                  <w:noWrap w:val="0"/>
                  <w:vAlign w:val="center"/>
                </w:tcPr>
                <w:p>
                  <w:pPr>
                    <w:spacing w:beforeLines="0" w:afterLines="0" w:line="240" w:lineRule="auto"/>
                    <w:jc w:val="center"/>
                    <w:rPr>
                      <w:rFonts w:hint="eastAsia" w:ascii="Times New Roman"/>
                      <w:color w:val="auto"/>
                      <w:sz w:val="18"/>
                      <w:szCs w:val="18"/>
                    </w:rPr>
                  </w:pPr>
                  <w:r>
                    <w:rPr>
                      <w:rFonts w:hint="eastAsia" w:ascii="Times New Roman"/>
                      <w:color w:val="auto"/>
                      <w:sz w:val="18"/>
                      <w:szCs w:val="18"/>
                    </w:rPr>
                    <w:t>昼</w:t>
                  </w:r>
                </w:p>
              </w:tc>
              <w:tc>
                <w:tcPr>
                  <w:tcW w:w="389" w:type="pct"/>
                  <w:shd w:val="clear" w:color="auto" w:fill="FFFFFF"/>
                  <w:noWrap w:val="0"/>
                  <w:vAlign w:val="center"/>
                </w:tcPr>
                <w:p>
                  <w:pPr>
                    <w:spacing w:beforeLines="0" w:afterLines="0" w:line="240" w:lineRule="auto"/>
                    <w:jc w:val="center"/>
                    <w:rPr>
                      <w:rFonts w:hint="eastAsia" w:ascii="Times New Roman"/>
                      <w:color w:val="auto"/>
                      <w:sz w:val="18"/>
                      <w:szCs w:val="18"/>
                    </w:rPr>
                  </w:pPr>
                  <w:r>
                    <w:rPr>
                      <w:rFonts w:hint="eastAsia" w:ascii="Times New Roman"/>
                      <w:color w:val="auto"/>
                      <w:sz w:val="18"/>
                      <w:szCs w:val="18"/>
                    </w:rPr>
                    <w:t>20</w:t>
                  </w:r>
                </w:p>
              </w:tc>
              <w:tc>
                <w:tcPr>
                  <w:tcW w:w="395" w:type="pct"/>
                  <w:shd w:val="clear" w:color="auto" w:fill="FFFFFF"/>
                  <w:noWrap w:val="0"/>
                  <w:vAlign w:val="bottom"/>
                </w:tcPr>
                <w:p>
                  <w:pPr>
                    <w:keepNext w:val="0"/>
                    <w:keepLines w:val="0"/>
                    <w:widowControl/>
                    <w:suppressLineNumbers w:val="0"/>
                    <w:jc w:val="center"/>
                    <w:textAlignment w:val="bottom"/>
                    <w:rPr>
                      <w:rFonts w:hint="eastAsia" w:ascii="Times New Roman"/>
                      <w:color w:val="auto"/>
                      <w:sz w:val="18"/>
                      <w:szCs w:val="18"/>
                      <w:lang w:val="en-US" w:eastAsia="zh-CN"/>
                    </w:rPr>
                  </w:pPr>
                  <w:r>
                    <w:rPr>
                      <w:rFonts w:hint="eastAsia" w:ascii="Times New Roman" w:hAnsi="Calibri" w:eastAsia="宋体" w:cs="Times New Roman"/>
                      <w:color w:val="auto"/>
                      <w:kern w:val="0"/>
                      <w:sz w:val="18"/>
                      <w:szCs w:val="18"/>
                      <w:lang w:val="en-US" w:eastAsia="zh-CN" w:bidi="ar-SA"/>
                    </w:rPr>
                    <w:t xml:space="preserve">48.1 </w:t>
                  </w:r>
                </w:p>
              </w:tc>
              <w:tc>
                <w:tcPr>
                  <w:tcW w:w="372" w:type="pct"/>
                  <w:shd w:val="clear" w:color="auto" w:fill="FFFFFF"/>
                  <w:noWrap w:val="0"/>
                  <w:vAlign w:val="center"/>
                </w:tcPr>
                <w:p>
                  <w:pPr>
                    <w:jc w:val="center"/>
                    <w:rPr>
                      <w:rFonts w:hint="eastAsia" w:ascii="Times New Roman"/>
                      <w:color w:val="auto"/>
                      <w:sz w:val="18"/>
                      <w:szCs w:val="18"/>
                      <w:lang w:val="en-US" w:eastAsia="zh-CN"/>
                    </w:rPr>
                  </w:pPr>
                  <w:r>
                    <w:rPr>
                      <w:sz w:val="18"/>
                      <w:szCs w:val="18"/>
                    </w:rPr>
                    <w:t>1</w:t>
                  </w:r>
                </w:p>
              </w:tc>
              <w:tc>
                <w:tcPr>
                  <w:tcW w:w="261" w:type="pct"/>
                  <w:vMerge w:val="continue"/>
                  <w:shd w:val="clear" w:color="auto" w:fill="FFFFFF"/>
                  <w:noWrap w:val="0"/>
                  <w:vAlign w:val="center"/>
                </w:tcPr>
                <w:p>
                  <w:pPr>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8"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279" w:type="pct"/>
                  <w:vMerge w:val="continue"/>
                  <w:shd w:val="clear" w:color="auto" w:fill="FFFFFF"/>
                  <w:noWrap w:val="0"/>
                  <w:vAlign w:val="center"/>
                </w:tcPr>
                <w:p>
                  <w:pPr>
                    <w:jc w:val="center"/>
                    <w:rPr>
                      <w:rFonts w:hint="eastAsia" w:ascii="Times New Roman"/>
                      <w:color w:val="auto"/>
                      <w:sz w:val="18"/>
                      <w:szCs w:val="18"/>
                      <w:lang w:val="en-US" w:eastAsia="zh-CN"/>
                    </w:rPr>
                  </w:pPr>
                </w:p>
              </w:tc>
              <w:tc>
                <w:tcPr>
                  <w:tcW w:w="435" w:type="pct"/>
                  <w:shd w:val="clear" w:color="auto" w:fill="FFFFFF"/>
                  <w:noWrap w:val="0"/>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sz w:val="18"/>
                      <w:szCs w:val="18"/>
                    </w:rPr>
                    <w:t>烘干机</w:t>
                  </w:r>
                </w:p>
              </w:tc>
              <w:tc>
                <w:tcPr>
                  <w:tcW w:w="451" w:type="pct"/>
                  <w:shd w:val="clear" w:color="auto" w:fill="FFFFFF"/>
                  <w:noWrap w:val="0"/>
                  <w:vAlign w:val="center"/>
                </w:tcPr>
                <w:p>
                  <w:pPr>
                    <w:spacing w:beforeLines="0" w:afterLines="0" w:line="240" w:lineRule="auto"/>
                    <w:jc w:val="center"/>
                    <w:rPr>
                      <w:rFonts w:hint="eastAsia" w:ascii="Times New Roman"/>
                      <w:color w:val="auto"/>
                      <w:sz w:val="18"/>
                      <w:szCs w:val="18"/>
                      <w:lang w:val="en-US" w:eastAsia="zh-CN"/>
                    </w:rPr>
                  </w:pPr>
                  <w:r>
                    <w:rPr>
                      <w:rFonts w:hint="eastAsia" w:ascii="Times New Roman"/>
                      <w:color w:val="auto"/>
                      <w:sz w:val="18"/>
                      <w:szCs w:val="18"/>
                      <w:lang w:val="en-US" w:eastAsia="zh-CN"/>
                    </w:rPr>
                    <w:t>/</w:t>
                  </w:r>
                </w:p>
              </w:tc>
              <w:tc>
                <w:tcPr>
                  <w:tcW w:w="378" w:type="pct"/>
                  <w:shd w:val="clear" w:color="auto" w:fill="FFFFFF"/>
                  <w:noWrap w:val="0"/>
                  <w:vAlign w:val="center"/>
                </w:tcPr>
                <w:p>
                  <w:pPr>
                    <w:jc w:val="center"/>
                    <w:rPr>
                      <w:rFonts w:hint="default"/>
                      <w:color w:val="auto"/>
                      <w:sz w:val="18"/>
                      <w:szCs w:val="18"/>
                      <w:lang w:val="en-US" w:eastAsia="zh-CN"/>
                    </w:rPr>
                  </w:pPr>
                  <w:r>
                    <w:rPr>
                      <w:rFonts w:hint="eastAsia"/>
                      <w:color w:val="auto"/>
                      <w:sz w:val="18"/>
                      <w:szCs w:val="18"/>
                      <w:lang w:val="en-US" w:eastAsia="zh-CN"/>
                    </w:rPr>
                    <w:t>85</w:t>
                  </w:r>
                </w:p>
              </w:tc>
              <w:tc>
                <w:tcPr>
                  <w:tcW w:w="287" w:type="pct"/>
                  <w:vMerge w:val="continue"/>
                  <w:shd w:val="clear" w:color="auto" w:fill="FFFFFF"/>
                  <w:noWrap w:val="0"/>
                  <w:vAlign w:val="center"/>
                </w:tcPr>
                <w:p>
                  <w:pPr>
                    <w:pStyle w:val="19"/>
                    <w:spacing w:beforeLines="0" w:afterLines="0" w:line="240" w:lineRule="auto"/>
                    <w:rPr>
                      <w:rFonts w:ascii="Times New Roman"/>
                      <w:color w:val="auto"/>
                      <w:sz w:val="18"/>
                      <w:szCs w:val="18"/>
                    </w:rPr>
                  </w:pPr>
                </w:p>
              </w:tc>
              <w:tc>
                <w:tcPr>
                  <w:tcW w:w="242"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40</w:t>
                  </w:r>
                </w:p>
              </w:tc>
              <w:tc>
                <w:tcPr>
                  <w:tcW w:w="242"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7</w:t>
                  </w:r>
                </w:p>
              </w:tc>
              <w:tc>
                <w:tcPr>
                  <w:tcW w:w="233" w:type="pct"/>
                  <w:shd w:val="clear" w:color="auto" w:fill="FFFFFF"/>
                  <w:noWrap w:val="0"/>
                  <w:vAlign w:val="center"/>
                </w:tcPr>
                <w:p>
                  <w:pPr>
                    <w:pStyle w:val="19"/>
                    <w:spacing w:beforeLines="0" w:afterLines="0" w:line="240" w:lineRule="auto"/>
                    <w:rPr>
                      <w:rFonts w:hint="default" w:ascii="Times New Roman" w:cs="Times New Roman"/>
                      <w:color w:val="auto"/>
                      <w:sz w:val="18"/>
                      <w:szCs w:val="18"/>
                      <w:lang w:val="en-US" w:eastAsia="zh-CN"/>
                    </w:rPr>
                  </w:pPr>
                  <w:r>
                    <w:rPr>
                      <w:rFonts w:hint="eastAsia" w:ascii="Times New Roman" w:cs="Times New Roman"/>
                      <w:color w:val="auto"/>
                      <w:sz w:val="18"/>
                      <w:szCs w:val="18"/>
                      <w:lang w:val="en-US" w:eastAsia="zh-CN"/>
                    </w:rPr>
                    <w:t>1</w:t>
                  </w:r>
                </w:p>
              </w:tc>
              <w:tc>
                <w:tcPr>
                  <w:tcW w:w="299"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S7</w:t>
                  </w:r>
                </w:p>
              </w:tc>
              <w:tc>
                <w:tcPr>
                  <w:tcW w:w="334" w:type="pct"/>
                  <w:shd w:val="clear" w:color="auto" w:fill="FFFFFF"/>
                  <w:noWrap w:val="0"/>
                  <w:vAlign w:val="bottom"/>
                </w:tcPr>
                <w:p>
                  <w:pPr>
                    <w:keepNext w:val="0"/>
                    <w:keepLines w:val="0"/>
                    <w:widowControl/>
                    <w:suppressLineNumbers w:val="0"/>
                    <w:jc w:val="center"/>
                    <w:textAlignment w:val="bottom"/>
                    <w:rPr>
                      <w:rFonts w:hint="eastAsia" w:ascii="Times New Roman" w:hAnsi="Calibri" w:eastAsia="宋体" w:cs="Times New Roman"/>
                      <w:color w:val="auto"/>
                      <w:kern w:val="0"/>
                      <w:sz w:val="18"/>
                      <w:szCs w:val="18"/>
                      <w:lang w:val="en-US" w:eastAsia="zh-CN" w:bidi="ar-SA"/>
                    </w:rPr>
                  </w:pPr>
                  <w:r>
                    <w:rPr>
                      <w:rFonts w:hint="eastAsia" w:ascii="Times New Roman" w:hAnsi="Calibri" w:eastAsia="宋体" w:cs="Times New Roman"/>
                      <w:color w:val="auto"/>
                      <w:kern w:val="0"/>
                      <w:sz w:val="18"/>
                      <w:szCs w:val="18"/>
                      <w:lang w:val="en-US" w:eastAsia="zh-CN" w:bidi="ar-SA"/>
                    </w:rPr>
                    <w:t xml:space="preserve">68.1 </w:t>
                  </w:r>
                </w:p>
              </w:tc>
              <w:tc>
                <w:tcPr>
                  <w:tcW w:w="248" w:type="pct"/>
                  <w:shd w:val="clear" w:color="auto" w:fill="FFFFFF"/>
                  <w:noWrap w:val="0"/>
                  <w:vAlign w:val="center"/>
                </w:tcPr>
                <w:p>
                  <w:pPr>
                    <w:spacing w:beforeLines="0" w:afterLines="0" w:line="240" w:lineRule="auto"/>
                    <w:jc w:val="center"/>
                    <w:rPr>
                      <w:rFonts w:hint="eastAsia" w:ascii="Times New Roman"/>
                      <w:color w:val="auto"/>
                      <w:sz w:val="18"/>
                      <w:szCs w:val="18"/>
                    </w:rPr>
                  </w:pPr>
                  <w:r>
                    <w:rPr>
                      <w:rFonts w:hint="eastAsia" w:ascii="Times New Roman"/>
                      <w:color w:val="auto"/>
                      <w:sz w:val="18"/>
                      <w:szCs w:val="18"/>
                    </w:rPr>
                    <w:t>昼</w:t>
                  </w:r>
                </w:p>
              </w:tc>
              <w:tc>
                <w:tcPr>
                  <w:tcW w:w="389" w:type="pct"/>
                  <w:shd w:val="clear" w:color="auto" w:fill="FFFFFF"/>
                  <w:noWrap w:val="0"/>
                  <w:vAlign w:val="center"/>
                </w:tcPr>
                <w:p>
                  <w:pPr>
                    <w:spacing w:beforeLines="0" w:afterLines="0" w:line="240" w:lineRule="auto"/>
                    <w:jc w:val="center"/>
                    <w:rPr>
                      <w:rFonts w:hint="eastAsia" w:ascii="Times New Roman"/>
                      <w:color w:val="auto"/>
                      <w:sz w:val="18"/>
                      <w:szCs w:val="18"/>
                    </w:rPr>
                  </w:pPr>
                  <w:r>
                    <w:rPr>
                      <w:rFonts w:hint="eastAsia" w:ascii="Times New Roman"/>
                      <w:color w:val="auto"/>
                      <w:sz w:val="18"/>
                      <w:szCs w:val="18"/>
                    </w:rPr>
                    <w:t>20</w:t>
                  </w:r>
                </w:p>
              </w:tc>
              <w:tc>
                <w:tcPr>
                  <w:tcW w:w="395" w:type="pct"/>
                  <w:shd w:val="clear" w:color="auto" w:fill="FFFFFF"/>
                  <w:noWrap w:val="0"/>
                  <w:vAlign w:val="bottom"/>
                </w:tcPr>
                <w:p>
                  <w:pPr>
                    <w:keepNext w:val="0"/>
                    <w:keepLines w:val="0"/>
                    <w:widowControl/>
                    <w:suppressLineNumbers w:val="0"/>
                    <w:jc w:val="center"/>
                    <w:textAlignment w:val="bottom"/>
                    <w:rPr>
                      <w:rFonts w:hint="eastAsia" w:ascii="Times New Roman"/>
                      <w:color w:val="auto"/>
                      <w:sz w:val="18"/>
                      <w:szCs w:val="18"/>
                      <w:lang w:val="en-US" w:eastAsia="zh-CN"/>
                    </w:rPr>
                  </w:pPr>
                  <w:r>
                    <w:rPr>
                      <w:rFonts w:hint="eastAsia" w:ascii="Times New Roman" w:hAnsi="Calibri" w:eastAsia="宋体" w:cs="Times New Roman"/>
                      <w:color w:val="auto"/>
                      <w:kern w:val="0"/>
                      <w:sz w:val="18"/>
                      <w:szCs w:val="18"/>
                      <w:lang w:val="en-US" w:eastAsia="zh-CN" w:bidi="ar-SA"/>
                    </w:rPr>
                    <w:t xml:space="preserve">48.1 </w:t>
                  </w:r>
                </w:p>
              </w:tc>
              <w:tc>
                <w:tcPr>
                  <w:tcW w:w="372" w:type="pct"/>
                  <w:shd w:val="clear" w:color="auto" w:fill="FFFFFF"/>
                  <w:noWrap w:val="0"/>
                  <w:vAlign w:val="center"/>
                </w:tcPr>
                <w:p>
                  <w:pPr>
                    <w:jc w:val="center"/>
                    <w:rPr>
                      <w:rFonts w:hint="eastAsia" w:ascii="Times New Roman"/>
                      <w:color w:val="auto"/>
                      <w:sz w:val="18"/>
                      <w:szCs w:val="18"/>
                      <w:lang w:val="en-US" w:eastAsia="zh-CN"/>
                    </w:rPr>
                  </w:pPr>
                  <w:r>
                    <w:rPr>
                      <w:rFonts w:hint="eastAsia"/>
                      <w:sz w:val="18"/>
                      <w:szCs w:val="18"/>
                    </w:rPr>
                    <w:t>1</w:t>
                  </w:r>
                </w:p>
              </w:tc>
              <w:tc>
                <w:tcPr>
                  <w:tcW w:w="261" w:type="pct"/>
                  <w:vMerge w:val="continue"/>
                  <w:shd w:val="clear" w:color="auto" w:fill="FFFFFF"/>
                  <w:noWrap w:val="0"/>
                  <w:vAlign w:val="center"/>
                </w:tcPr>
                <w:p>
                  <w:pPr>
                    <w:jc w:val="center"/>
                    <w:rPr>
                      <w:rFonts w:hint="eastAsia"/>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8"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279" w:type="pct"/>
                  <w:vMerge w:val="restart"/>
                  <w:shd w:val="clear" w:color="auto" w:fill="FFFFFF"/>
                  <w:noWrap w:val="0"/>
                  <w:vAlign w:val="center"/>
                </w:tcPr>
                <w:p>
                  <w:pPr>
                    <w:pStyle w:val="19"/>
                    <w:spacing w:beforeLines="0" w:afterLines="0" w:line="240" w:lineRule="auto"/>
                    <w:rPr>
                      <w:rFonts w:hint="eastAsia" w:ascii="Times New Roman"/>
                      <w:color w:val="auto"/>
                      <w:sz w:val="18"/>
                      <w:szCs w:val="18"/>
                      <w:lang w:val="en-US" w:eastAsia="zh-CN"/>
                    </w:rPr>
                  </w:pPr>
                  <w:r>
                    <w:rPr>
                      <w:rFonts w:hint="eastAsia" w:ascii="Times New Roman"/>
                      <w:color w:val="auto"/>
                      <w:sz w:val="18"/>
                      <w:szCs w:val="18"/>
                      <w:lang w:val="en-US" w:eastAsia="zh-CN"/>
                    </w:rPr>
                    <w:t>厂房二</w:t>
                  </w:r>
                </w:p>
              </w:tc>
              <w:tc>
                <w:tcPr>
                  <w:tcW w:w="435" w:type="pct"/>
                  <w:shd w:val="clear" w:color="auto" w:fill="FFFFFF"/>
                  <w:noWrap w:val="0"/>
                  <w:vAlign w:val="center"/>
                </w:tcPr>
                <w:p>
                  <w:pPr>
                    <w:pStyle w:val="19"/>
                    <w:spacing w:beforeLines="0" w:afterLines="0" w:line="240" w:lineRule="auto"/>
                    <w:rPr>
                      <w:rFonts w:hint="eastAsia" w:ascii="Times New Roman" w:hAnsi="Calibri" w:eastAsia="宋体" w:cs="Times New Roman"/>
                      <w:color w:val="auto"/>
                      <w:kern w:val="0"/>
                      <w:sz w:val="18"/>
                      <w:szCs w:val="18"/>
                      <w:lang w:val="en-US" w:eastAsia="zh-CN" w:bidi="ar-SA"/>
                    </w:rPr>
                  </w:pPr>
                  <w:r>
                    <w:rPr>
                      <w:rFonts w:hint="eastAsia"/>
                      <w:sz w:val="18"/>
                      <w:szCs w:val="18"/>
                    </w:rPr>
                    <w:t>电脑横机</w:t>
                  </w:r>
                </w:p>
              </w:tc>
              <w:tc>
                <w:tcPr>
                  <w:tcW w:w="451" w:type="pct"/>
                  <w:shd w:val="clear" w:color="auto" w:fill="FFFFFF"/>
                  <w:noWrap w:val="0"/>
                  <w:vAlign w:val="center"/>
                </w:tcPr>
                <w:p>
                  <w:pPr>
                    <w:spacing w:beforeLines="0" w:afterLines="0" w:line="240" w:lineRule="auto"/>
                    <w:jc w:val="center"/>
                    <w:rPr>
                      <w:rFonts w:hint="eastAsia" w:ascii="Times New Roman"/>
                      <w:color w:val="auto"/>
                      <w:sz w:val="18"/>
                      <w:szCs w:val="18"/>
                      <w:lang w:val="en-US" w:eastAsia="zh-CN"/>
                    </w:rPr>
                  </w:pPr>
                  <w:r>
                    <w:rPr>
                      <w:rFonts w:hint="eastAsia" w:ascii="Times New Roman"/>
                      <w:color w:val="auto"/>
                      <w:sz w:val="18"/>
                      <w:szCs w:val="18"/>
                      <w:lang w:val="en-US" w:eastAsia="zh-CN"/>
                    </w:rPr>
                    <w:t>/</w:t>
                  </w:r>
                </w:p>
              </w:tc>
              <w:tc>
                <w:tcPr>
                  <w:tcW w:w="378" w:type="pct"/>
                  <w:shd w:val="clear" w:color="auto" w:fill="FFFFFF"/>
                  <w:noWrap w:val="0"/>
                  <w:vAlign w:val="center"/>
                </w:tcPr>
                <w:p>
                  <w:pPr>
                    <w:jc w:val="center"/>
                    <w:rPr>
                      <w:rFonts w:hint="default"/>
                      <w:color w:val="auto"/>
                      <w:sz w:val="18"/>
                      <w:szCs w:val="18"/>
                      <w:lang w:val="en-US" w:eastAsia="zh-CN"/>
                    </w:rPr>
                  </w:pPr>
                  <w:r>
                    <w:rPr>
                      <w:rFonts w:hint="eastAsia"/>
                      <w:color w:val="auto"/>
                      <w:sz w:val="18"/>
                      <w:szCs w:val="18"/>
                      <w:lang w:val="en-US" w:eastAsia="zh-CN"/>
                    </w:rPr>
                    <w:t>80</w:t>
                  </w:r>
                </w:p>
              </w:tc>
              <w:tc>
                <w:tcPr>
                  <w:tcW w:w="287" w:type="pct"/>
                  <w:vMerge w:val="continue"/>
                  <w:shd w:val="clear" w:color="auto" w:fill="FFFFFF"/>
                  <w:noWrap w:val="0"/>
                  <w:vAlign w:val="center"/>
                </w:tcPr>
                <w:p>
                  <w:pPr>
                    <w:pStyle w:val="19"/>
                    <w:spacing w:beforeLines="0" w:afterLines="0" w:line="240" w:lineRule="auto"/>
                    <w:rPr>
                      <w:rFonts w:ascii="Times New Roman"/>
                      <w:color w:val="auto"/>
                      <w:sz w:val="18"/>
                      <w:szCs w:val="18"/>
                    </w:rPr>
                  </w:pPr>
                </w:p>
              </w:tc>
              <w:tc>
                <w:tcPr>
                  <w:tcW w:w="242"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33</w:t>
                  </w:r>
                </w:p>
              </w:tc>
              <w:tc>
                <w:tcPr>
                  <w:tcW w:w="242"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30</w:t>
                  </w:r>
                </w:p>
              </w:tc>
              <w:tc>
                <w:tcPr>
                  <w:tcW w:w="233" w:type="pct"/>
                  <w:shd w:val="clear" w:color="auto" w:fill="FFFFFF"/>
                  <w:noWrap w:val="0"/>
                  <w:vAlign w:val="center"/>
                </w:tcPr>
                <w:p>
                  <w:pPr>
                    <w:pStyle w:val="19"/>
                    <w:spacing w:beforeLines="0" w:afterLines="0" w:line="240" w:lineRule="auto"/>
                    <w:rPr>
                      <w:rFonts w:hint="default" w:ascii="Times New Roman" w:cs="Times New Roman"/>
                      <w:color w:val="auto"/>
                      <w:sz w:val="18"/>
                      <w:szCs w:val="18"/>
                      <w:lang w:val="en-US" w:eastAsia="zh-CN"/>
                    </w:rPr>
                  </w:pPr>
                  <w:r>
                    <w:rPr>
                      <w:rFonts w:hint="eastAsia" w:ascii="Times New Roman" w:cs="Times New Roman"/>
                      <w:color w:val="auto"/>
                      <w:sz w:val="18"/>
                      <w:szCs w:val="18"/>
                      <w:lang w:val="en-US" w:eastAsia="zh-CN"/>
                    </w:rPr>
                    <w:t>1</w:t>
                  </w:r>
                </w:p>
              </w:tc>
              <w:tc>
                <w:tcPr>
                  <w:tcW w:w="299"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S30</w:t>
                  </w:r>
                </w:p>
              </w:tc>
              <w:tc>
                <w:tcPr>
                  <w:tcW w:w="334" w:type="pct"/>
                  <w:shd w:val="clear" w:color="auto" w:fill="FFFFFF"/>
                  <w:noWrap w:val="0"/>
                  <w:vAlign w:val="bottom"/>
                </w:tcPr>
                <w:p>
                  <w:pPr>
                    <w:keepNext w:val="0"/>
                    <w:keepLines w:val="0"/>
                    <w:widowControl/>
                    <w:suppressLineNumbers w:val="0"/>
                    <w:jc w:val="center"/>
                    <w:textAlignment w:val="bottom"/>
                    <w:rPr>
                      <w:rFonts w:hint="eastAsia" w:ascii="Times New Roman" w:hAnsi="Calibri" w:eastAsia="宋体" w:cs="Times New Roman"/>
                      <w:color w:val="auto"/>
                      <w:kern w:val="0"/>
                      <w:sz w:val="18"/>
                      <w:szCs w:val="18"/>
                      <w:lang w:val="en-US" w:eastAsia="zh-CN" w:bidi="ar-SA"/>
                    </w:rPr>
                  </w:pPr>
                  <w:r>
                    <w:rPr>
                      <w:rFonts w:hint="eastAsia" w:ascii="Times New Roman" w:hAnsi="Calibri" w:eastAsia="宋体" w:cs="Times New Roman"/>
                      <w:color w:val="auto"/>
                      <w:kern w:val="0"/>
                      <w:sz w:val="18"/>
                      <w:szCs w:val="18"/>
                      <w:lang w:val="en-US" w:eastAsia="zh-CN" w:bidi="ar-SA"/>
                    </w:rPr>
                    <w:t xml:space="preserve">50.5 </w:t>
                  </w:r>
                </w:p>
              </w:tc>
              <w:tc>
                <w:tcPr>
                  <w:tcW w:w="248" w:type="pct"/>
                  <w:shd w:val="clear" w:color="auto" w:fill="FFFFFF"/>
                  <w:noWrap w:val="0"/>
                  <w:vAlign w:val="center"/>
                </w:tcPr>
                <w:p>
                  <w:pPr>
                    <w:spacing w:beforeLines="0" w:afterLines="0" w:line="240" w:lineRule="auto"/>
                    <w:jc w:val="center"/>
                    <w:rPr>
                      <w:rFonts w:hint="eastAsia" w:ascii="Times New Roman"/>
                      <w:color w:val="auto"/>
                      <w:sz w:val="18"/>
                      <w:szCs w:val="18"/>
                    </w:rPr>
                  </w:pPr>
                  <w:r>
                    <w:rPr>
                      <w:rFonts w:hint="eastAsia" w:ascii="Times New Roman"/>
                      <w:color w:val="auto"/>
                      <w:sz w:val="18"/>
                      <w:szCs w:val="18"/>
                    </w:rPr>
                    <w:t>昼</w:t>
                  </w:r>
                </w:p>
              </w:tc>
              <w:tc>
                <w:tcPr>
                  <w:tcW w:w="389" w:type="pct"/>
                  <w:shd w:val="clear" w:color="auto" w:fill="FFFFFF"/>
                  <w:noWrap w:val="0"/>
                  <w:vAlign w:val="center"/>
                </w:tcPr>
                <w:p>
                  <w:pPr>
                    <w:spacing w:beforeLines="0" w:afterLines="0" w:line="240" w:lineRule="auto"/>
                    <w:jc w:val="center"/>
                    <w:rPr>
                      <w:rFonts w:hint="eastAsia" w:ascii="Times New Roman"/>
                      <w:color w:val="auto"/>
                      <w:sz w:val="18"/>
                      <w:szCs w:val="18"/>
                    </w:rPr>
                  </w:pPr>
                  <w:r>
                    <w:rPr>
                      <w:rFonts w:hint="eastAsia" w:ascii="Times New Roman"/>
                      <w:color w:val="auto"/>
                      <w:sz w:val="18"/>
                      <w:szCs w:val="18"/>
                    </w:rPr>
                    <w:t>20</w:t>
                  </w:r>
                </w:p>
              </w:tc>
              <w:tc>
                <w:tcPr>
                  <w:tcW w:w="395" w:type="pct"/>
                  <w:shd w:val="clear" w:color="auto" w:fill="FFFFFF"/>
                  <w:noWrap w:val="0"/>
                  <w:vAlign w:val="bottom"/>
                </w:tcPr>
                <w:p>
                  <w:pPr>
                    <w:keepNext w:val="0"/>
                    <w:keepLines w:val="0"/>
                    <w:widowControl/>
                    <w:suppressLineNumbers w:val="0"/>
                    <w:jc w:val="center"/>
                    <w:textAlignment w:val="bottom"/>
                    <w:rPr>
                      <w:rFonts w:hint="eastAsia" w:ascii="Times New Roman"/>
                      <w:color w:val="auto"/>
                      <w:sz w:val="18"/>
                      <w:szCs w:val="18"/>
                      <w:lang w:val="en-US" w:eastAsia="zh-CN"/>
                    </w:rPr>
                  </w:pPr>
                  <w:r>
                    <w:rPr>
                      <w:rFonts w:hint="eastAsia" w:ascii="Times New Roman" w:hAnsi="Calibri" w:eastAsia="宋体" w:cs="Times New Roman"/>
                      <w:color w:val="auto"/>
                      <w:kern w:val="0"/>
                      <w:sz w:val="18"/>
                      <w:szCs w:val="18"/>
                      <w:lang w:val="en-US" w:eastAsia="zh-CN" w:bidi="ar-SA"/>
                    </w:rPr>
                    <w:t xml:space="preserve">30.5 </w:t>
                  </w:r>
                </w:p>
              </w:tc>
              <w:tc>
                <w:tcPr>
                  <w:tcW w:w="372" w:type="pct"/>
                  <w:shd w:val="clear" w:color="auto" w:fill="FFFFFF"/>
                  <w:noWrap w:val="0"/>
                  <w:vAlign w:val="center"/>
                </w:tcPr>
                <w:p>
                  <w:pPr>
                    <w:jc w:val="center"/>
                    <w:rPr>
                      <w:rFonts w:hint="eastAsia" w:ascii="Times New Roman"/>
                      <w:color w:val="auto"/>
                      <w:sz w:val="18"/>
                      <w:szCs w:val="18"/>
                      <w:lang w:val="en-US" w:eastAsia="zh-CN"/>
                    </w:rPr>
                  </w:pPr>
                  <w:r>
                    <w:rPr>
                      <w:sz w:val="18"/>
                      <w:szCs w:val="18"/>
                    </w:rPr>
                    <w:t>1</w:t>
                  </w:r>
                </w:p>
              </w:tc>
              <w:tc>
                <w:tcPr>
                  <w:tcW w:w="261" w:type="pct"/>
                  <w:vMerge w:val="continue"/>
                  <w:shd w:val="clear" w:color="auto" w:fill="FFFFFF"/>
                  <w:noWrap w:val="0"/>
                  <w:vAlign w:val="center"/>
                </w:tcPr>
                <w:p>
                  <w:pPr>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8"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5</w:t>
                  </w:r>
                </w:p>
              </w:tc>
              <w:tc>
                <w:tcPr>
                  <w:tcW w:w="279" w:type="pct"/>
                  <w:vMerge w:val="continue"/>
                  <w:shd w:val="clear" w:color="auto" w:fill="FFFFFF"/>
                  <w:noWrap w:val="0"/>
                  <w:vAlign w:val="center"/>
                </w:tcPr>
                <w:p>
                  <w:pPr>
                    <w:pStyle w:val="19"/>
                    <w:spacing w:beforeLines="0" w:afterLines="0" w:line="240" w:lineRule="auto"/>
                    <w:rPr>
                      <w:rFonts w:hint="eastAsia" w:ascii="Times New Roman"/>
                      <w:color w:val="auto"/>
                      <w:sz w:val="18"/>
                      <w:szCs w:val="18"/>
                      <w:lang w:val="en-US" w:eastAsia="zh-CN"/>
                    </w:rPr>
                  </w:pPr>
                </w:p>
              </w:tc>
              <w:tc>
                <w:tcPr>
                  <w:tcW w:w="435" w:type="pct"/>
                  <w:shd w:val="clear" w:color="auto" w:fill="FFFFFF"/>
                  <w:noWrap w:val="0"/>
                  <w:vAlign w:val="center"/>
                </w:tcPr>
                <w:p>
                  <w:pPr>
                    <w:pStyle w:val="19"/>
                    <w:spacing w:beforeLines="0" w:afterLines="0" w:line="240" w:lineRule="auto"/>
                    <w:rPr>
                      <w:rFonts w:hint="eastAsia" w:ascii="Times New Roman" w:hAnsi="Calibri" w:eastAsia="宋体" w:cs="Times New Roman"/>
                      <w:color w:val="auto"/>
                      <w:kern w:val="0"/>
                      <w:sz w:val="18"/>
                      <w:szCs w:val="18"/>
                      <w:lang w:val="en-US" w:eastAsia="zh-CN" w:bidi="ar-SA"/>
                    </w:rPr>
                  </w:pPr>
                  <w:r>
                    <w:rPr>
                      <w:rFonts w:hint="eastAsia"/>
                      <w:sz w:val="18"/>
                      <w:szCs w:val="18"/>
                    </w:rPr>
                    <w:t>圆盘缝合机</w:t>
                  </w:r>
                </w:p>
              </w:tc>
              <w:tc>
                <w:tcPr>
                  <w:tcW w:w="451" w:type="pct"/>
                  <w:shd w:val="clear" w:color="auto" w:fill="FFFFFF"/>
                  <w:noWrap w:val="0"/>
                  <w:vAlign w:val="center"/>
                </w:tcPr>
                <w:p>
                  <w:pPr>
                    <w:spacing w:beforeLines="0" w:afterLines="0" w:line="240" w:lineRule="auto"/>
                    <w:jc w:val="center"/>
                    <w:rPr>
                      <w:rFonts w:hint="eastAsia" w:ascii="Times New Roman"/>
                      <w:color w:val="auto"/>
                      <w:sz w:val="18"/>
                      <w:szCs w:val="18"/>
                      <w:lang w:val="en-US" w:eastAsia="zh-CN"/>
                    </w:rPr>
                  </w:pPr>
                  <w:r>
                    <w:rPr>
                      <w:rFonts w:hint="eastAsia" w:ascii="Times New Roman"/>
                      <w:color w:val="auto"/>
                      <w:sz w:val="18"/>
                      <w:szCs w:val="18"/>
                      <w:lang w:val="en-US" w:eastAsia="zh-CN"/>
                    </w:rPr>
                    <w:t>/</w:t>
                  </w:r>
                </w:p>
              </w:tc>
              <w:tc>
                <w:tcPr>
                  <w:tcW w:w="378" w:type="pct"/>
                  <w:shd w:val="clear" w:color="auto" w:fill="FFFFFF"/>
                  <w:noWrap w:val="0"/>
                  <w:vAlign w:val="center"/>
                </w:tcPr>
                <w:p>
                  <w:pPr>
                    <w:jc w:val="center"/>
                    <w:rPr>
                      <w:rFonts w:hint="default"/>
                      <w:color w:val="auto"/>
                      <w:sz w:val="18"/>
                      <w:szCs w:val="18"/>
                      <w:lang w:val="en-US" w:eastAsia="zh-CN"/>
                    </w:rPr>
                  </w:pPr>
                  <w:r>
                    <w:rPr>
                      <w:rFonts w:hint="eastAsia"/>
                      <w:color w:val="auto"/>
                      <w:sz w:val="18"/>
                      <w:szCs w:val="18"/>
                      <w:lang w:val="en-US" w:eastAsia="zh-CN"/>
                    </w:rPr>
                    <w:t>80</w:t>
                  </w:r>
                </w:p>
              </w:tc>
              <w:tc>
                <w:tcPr>
                  <w:tcW w:w="287" w:type="pct"/>
                  <w:vMerge w:val="continue"/>
                  <w:shd w:val="clear" w:color="auto" w:fill="FFFFFF"/>
                  <w:noWrap w:val="0"/>
                  <w:vAlign w:val="center"/>
                </w:tcPr>
                <w:p>
                  <w:pPr>
                    <w:pStyle w:val="19"/>
                    <w:spacing w:beforeLines="0" w:afterLines="0" w:line="240" w:lineRule="auto"/>
                    <w:rPr>
                      <w:rFonts w:ascii="Times New Roman"/>
                      <w:color w:val="auto"/>
                      <w:sz w:val="18"/>
                      <w:szCs w:val="18"/>
                    </w:rPr>
                  </w:pPr>
                </w:p>
              </w:tc>
              <w:tc>
                <w:tcPr>
                  <w:tcW w:w="242"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36</w:t>
                  </w:r>
                </w:p>
              </w:tc>
              <w:tc>
                <w:tcPr>
                  <w:tcW w:w="242"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45</w:t>
                  </w:r>
                </w:p>
              </w:tc>
              <w:tc>
                <w:tcPr>
                  <w:tcW w:w="233" w:type="pct"/>
                  <w:shd w:val="clear" w:color="auto" w:fill="FFFFFF"/>
                  <w:noWrap w:val="0"/>
                  <w:vAlign w:val="center"/>
                </w:tcPr>
                <w:p>
                  <w:pPr>
                    <w:pStyle w:val="19"/>
                    <w:spacing w:beforeLines="0" w:afterLines="0" w:line="240" w:lineRule="auto"/>
                    <w:rPr>
                      <w:rFonts w:hint="default" w:ascii="Times New Roman" w:cs="Times New Roman"/>
                      <w:color w:val="auto"/>
                      <w:sz w:val="18"/>
                      <w:szCs w:val="18"/>
                      <w:lang w:val="en-US" w:eastAsia="zh-CN"/>
                    </w:rPr>
                  </w:pPr>
                  <w:r>
                    <w:rPr>
                      <w:rFonts w:hint="eastAsia" w:ascii="Times New Roman" w:cs="Times New Roman"/>
                      <w:color w:val="auto"/>
                      <w:sz w:val="18"/>
                      <w:szCs w:val="18"/>
                      <w:lang w:val="en-US" w:eastAsia="zh-CN"/>
                    </w:rPr>
                    <w:t>1</w:t>
                  </w:r>
                </w:p>
              </w:tc>
              <w:tc>
                <w:tcPr>
                  <w:tcW w:w="299" w:type="pct"/>
                  <w:shd w:val="clear" w:color="auto" w:fill="FFFFFF"/>
                  <w:noWrap w:val="0"/>
                  <w:vAlign w:val="center"/>
                </w:tcPr>
                <w:p>
                  <w:pPr>
                    <w:pStyle w:val="19"/>
                    <w:spacing w:beforeLines="0" w:afterLines="0" w:line="240" w:lineRule="auto"/>
                    <w:rPr>
                      <w:rFonts w:hint="default" w:ascii="Times New Roman"/>
                      <w:color w:val="auto"/>
                      <w:sz w:val="18"/>
                      <w:szCs w:val="18"/>
                      <w:lang w:val="en-US" w:eastAsia="zh-CN"/>
                    </w:rPr>
                  </w:pPr>
                  <w:r>
                    <w:rPr>
                      <w:rFonts w:hint="eastAsia" w:ascii="Times New Roman"/>
                      <w:color w:val="auto"/>
                      <w:sz w:val="18"/>
                      <w:szCs w:val="18"/>
                      <w:lang w:val="en-US" w:eastAsia="zh-CN"/>
                    </w:rPr>
                    <w:t>W36</w:t>
                  </w:r>
                </w:p>
              </w:tc>
              <w:tc>
                <w:tcPr>
                  <w:tcW w:w="334" w:type="pct"/>
                  <w:shd w:val="clear" w:color="auto" w:fill="FFFFFF"/>
                  <w:noWrap w:val="0"/>
                  <w:vAlign w:val="center"/>
                </w:tcPr>
                <w:p>
                  <w:pPr>
                    <w:keepNext w:val="0"/>
                    <w:keepLines w:val="0"/>
                    <w:widowControl/>
                    <w:suppressLineNumbers w:val="0"/>
                    <w:jc w:val="center"/>
                    <w:textAlignment w:val="bottom"/>
                    <w:rPr>
                      <w:rFonts w:hint="eastAsia" w:ascii="Times New Roman" w:hAnsi="Calibri" w:eastAsia="宋体" w:cs="Times New Roman"/>
                      <w:color w:val="auto"/>
                      <w:kern w:val="0"/>
                      <w:sz w:val="18"/>
                      <w:szCs w:val="18"/>
                      <w:lang w:val="en-US" w:eastAsia="zh-CN" w:bidi="ar-SA"/>
                    </w:rPr>
                  </w:pPr>
                  <w:r>
                    <w:rPr>
                      <w:rFonts w:hint="eastAsia" w:ascii="Times New Roman" w:hAnsi="Calibri" w:eastAsia="宋体" w:cs="Times New Roman"/>
                      <w:color w:val="auto"/>
                      <w:kern w:val="0"/>
                      <w:sz w:val="18"/>
                      <w:szCs w:val="18"/>
                      <w:lang w:val="en-US" w:eastAsia="zh-CN" w:bidi="ar-SA"/>
                    </w:rPr>
                    <w:t>48.9</w:t>
                  </w:r>
                </w:p>
              </w:tc>
              <w:tc>
                <w:tcPr>
                  <w:tcW w:w="248" w:type="pct"/>
                  <w:shd w:val="clear" w:color="auto" w:fill="FFFFFF"/>
                  <w:noWrap w:val="0"/>
                  <w:vAlign w:val="center"/>
                </w:tcPr>
                <w:p>
                  <w:pPr>
                    <w:spacing w:beforeLines="0" w:afterLines="0" w:line="240" w:lineRule="auto"/>
                    <w:jc w:val="center"/>
                    <w:rPr>
                      <w:rFonts w:hint="eastAsia" w:ascii="Times New Roman"/>
                      <w:color w:val="auto"/>
                      <w:sz w:val="18"/>
                      <w:szCs w:val="18"/>
                    </w:rPr>
                  </w:pPr>
                  <w:r>
                    <w:rPr>
                      <w:rFonts w:hint="eastAsia" w:ascii="Times New Roman"/>
                      <w:color w:val="auto"/>
                      <w:sz w:val="18"/>
                      <w:szCs w:val="18"/>
                    </w:rPr>
                    <w:t>昼</w:t>
                  </w:r>
                </w:p>
              </w:tc>
              <w:tc>
                <w:tcPr>
                  <w:tcW w:w="389" w:type="pct"/>
                  <w:shd w:val="clear" w:color="auto" w:fill="FFFFFF"/>
                  <w:noWrap w:val="0"/>
                  <w:vAlign w:val="center"/>
                </w:tcPr>
                <w:p>
                  <w:pPr>
                    <w:spacing w:beforeLines="0" w:afterLines="0" w:line="240" w:lineRule="auto"/>
                    <w:jc w:val="center"/>
                    <w:rPr>
                      <w:rFonts w:hint="eastAsia" w:ascii="Times New Roman"/>
                      <w:color w:val="auto"/>
                      <w:sz w:val="18"/>
                      <w:szCs w:val="18"/>
                    </w:rPr>
                  </w:pPr>
                  <w:r>
                    <w:rPr>
                      <w:rFonts w:hint="eastAsia" w:ascii="Times New Roman"/>
                      <w:color w:val="auto"/>
                      <w:sz w:val="18"/>
                      <w:szCs w:val="18"/>
                    </w:rPr>
                    <w:t>20</w:t>
                  </w:r>
                </w:p>
              </w:tc>
              <w:tc>
                <w:tcPr>
                  <w:tcW w:w="395" w:type="pct"/>
                  <w:shd w:val="clear" w:color="auto" w:fill="FFFFFF"/>
                  <w:noWrap w:val="0"/>
                  <w:vAlign w:val="center"/>
                </w:tcPr>
                <w:p>
                  <w:pPr>
                    <w:keepNext w:val="0"/>
                    <w:keepLines w:val="0"/>
                    <w:widowControl/>
                    <w:suppressLineNumbers w:val="0"/>
                    <w:jc w:val="center"/>
                    <w:textAlignment w:val="bottom"/>
                    <w:rPr>
                      <w:rFonts w:hint="eastAsia" w:ascii="Times New Roman"/>
                      <w:color w:val="auto"/>
                      <w:sz w:val="18"/>
                      <w:szCs w:val="18"/>
                      <w:lang w:val="en-US" w:eastAsia="zh-CN"/>
                    </w:rPr>
                  </w:pPr>
                  <w:r>
                    <w:rPr>
                      <w:rFonts w:hint="eastAsia" w:ascii="Times New Roman" w:hAnsi="Calibri" w:eastAsia="宋体" w:cs="Times New Roman"/>
                      <w:color w:val="auto"/>
                      <w:kern w:val="0"/>
                      <w:sz w:val="18"/>
                      <w:szCs w:val="18"/>
                      <w:lang w:val="en-US" w:eastAsia="zh-CN" w:bidi="ar-SA"/>
                    </w:rPr>
                    <w:t>28.9</w:t>
                  </w:r>
                </w:p>
              </w:tc>
              <w:tc>
                <w:tcPr>
                  <w:tcW w:w="372" w:type="pct"/>
                  <w:shd w:val="clear" w:color="auto" w:fill="FFFFFF"/>
                  <w:noWrap w:val="0"/>
                  <w:vAlign w:val="center"/>
                </w:tcPr>
                <w:p>
                  <w:pPr>
                    <w:jc w:val="center"/>
                    <w:rPr>
                      <w:rFonts w:hint="eastAsia" w:ascii="Times New Roman"/>
                      <w:color w:val="auto"/>
                      <w:sz w:val="18"/>
                      <w:szCs w:val="18"/>
                      <w:lang w:val="en-US" w:eastAsia="zh-CN"/>
                    </w:rPr>
                  </w:pPr>
                  <w:r>
                    <w:rPr>
                      <w:sz w:val="18"/>
                      <w:szCs w:val="18"/>
                    </w:rPr>
                    <w:t>1</w:t>
                  </w:r>
                </w:p>
              </w:tc>
              <w:tc>
                <w:tcPr>
                  <w:tcW w:w="261" w:type="pct"/>
                  <w:vMerge w:val="continue"/>
                  <w:shd w:val="clear" w:color="auto" w:fill="FFFFFF"/>
                  <w:noWrap w:val="0"/>
                  <w:vAlign w:val="center"/>
                </w:tcPr>
                <w:p>
                  <w:pPr>
                    <w:jc w:val="center"/>
                    <w:rPr>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b/>
                <w:bCs/>
                <w:color w:val="auto"/>
                <w:sz w:val="15"/>
                <w:szCs w:val="15"/>
              </w:rPr>
            </w:pPr>
            <w:r>
              <w:rPr>
                <w:rFonts w:hint="eastAsia"/>
                <w:b/>
                <w:bCs/>
                <w:color w:val="auto"/>
                <w:sz w:val="15"/>
                <w:szCs w:val="15"/>
              </w:rPr>
              <w:t>注：以</w:t>
            </w:r>
            <w:r>
              <w:rPr>
                <w:rFonts w:hint="eastAsia"/>
                <w:b/>
                <w:bCs/>
                <w:color w:val="auto"/>
                <w:sz w:val="15"/>
                <w:szCs w:val="15"/>
                <w:lang w:val="en-US" w:eastAsia="zh-CN"/>
              </w:rPr>
              <w:t>厂区最西侧角</w:t>
            </w:r>
            <w:r>
              <w:rPr>
                <w:rFonts w:hint="eastAsia"/>
                <w:b/>
                <w:bCs/>
                <w:color w:val="auto"/>
                <w:sz w:val="15"/>
                <w:szCs w:val="15"/>
              </w:rPr>
              <w:t>为（</w:t>
            </w:r>
            <w:r>
              <w:rPr>
                <w:b/>
                <w:bCs/>
                <w:color w:val="auto"/>
                <w:sz w:val="15"/>
                <w:szCs w:val="15"/>
              </w:rPr>
              <w:t>0.0</w:t>
            </w:r>
            <w:r>
              <w:rPr>
                <w:rFonts w:hint="eastAsia"/>
                <w:b/>
                <w:bCs/>
                <w:color w:val="auto"/>
                <w:sz w:val="15"/>
                <w:szCs w:val="15"/>
              </w:rPr>
              <w:t>）点，正东向为</w:t>
            </w:r>
            <w:r>
              <w:rPr>
                <w:b/>
                <w:bCs/>
                <w:color w:val="auto"/>
                <w:sz w:val="15"/>
                <w:szCs w:val="15"/>
              </w:rPr>
              <w:t>X</w:t>
            </w:r>
            <w:r>
              <w:rPr>
                <w:rFonts w:hint="eastAsia"/>
                <w:b/>
                <w:bCs/>
                <w:color w:val="auto"/>
                <w:sz w:val="15"/>
                <w:szCs w:val="15"/>
              </w:rPr>
              <w:t>轴正方向，正北向为</w:t>
            </w:r>
            <w:r>
              <w:rPr>
                <w:b/>
                <w:bCs/>
                <w:color w:val="auto"/>
                <w:sz w:val="15"/>
                <w:szCs w:val="15"/>
              </w:rPr>
              <w:t>Y</w:t>
            </w:r>
            <w:r>
              <w:rPr>
                <w:rFonts w:hint="eastAsia"/>
                <w:b/>
                <w:bCs/>
                <w:color w:val="auto"/>
                <w:sz w:val="15"/>
                <w:szCs w:val="15"/>
              </w:rPr>
              <w:t>轴正方向；</w:t>
            </w:r>
          </w:p>
          <w:p>
            <w:pPr>
              <w:pStyle w:val="2"/>
              <w:rPr>
                <w:vertAlign w:val="baseline"/>
              </w:rPr>
            </w:pPr>
          </w:p>
        </w:tc>
      </w:tr>
    </w:tbl>
    <w:p>
      <w:pPr>
        <w:pStyle w:val="2"/>
      </w:pPr>
    </w:p>
    <w:p>
      <w:pPr>
        <w:pStyle w:val="2"/>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tbl>
      <w:tblPr>
        <w:tblStyle w:val="12"/>
        <w:tblW w:w="0" w:type="auto"/>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1" w:hRule="atLeast"/>
        </w:trPr>
        <w:tc>
          <w:tcPr>
            <w:tcW w:w="1020" w:type="dxa"/>
          </w:tcPr>
          <w:p>
            <w:pPr>
              <w:rPr>
                <w:vertAlign w:val="baseline"/>
              </w:rPr>
            </w:pPr>
          </w:p>
        </w:tc>
        <w:tc>
          <w:tcPr>
            <w:tcW w:w="7786" w:type="dxa"/>
          </w:tcPr>
          <w:p>
            <w:pPr>
              <w:autoSpaceDE w:val="0"/>
              <w:autoSpaceDN w:val="0"/>
              <w:adjustRightInd w:val="0"/>
              <w:spacing w:line="50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表4-</w:t>
            </w:r>
            <w:r>
              <w:rPr>
                <w:rFonts w:hint="eastAsia" w:cs="Times New Roman"/>
                <w:b/>
                <w:bCs/>
                <w:color w:val="auto"/>
                <w:szCs w:val="21"/>
                <w:lang w:val="en-US" w:eastAsia="zh-CN"/>
              </w:rPr>
              <w:t xml:space="preserve">12 </w:t>
            </w:r>
            <w:r>
              <w:rPr>
                <w:rFonts w:hint="eastAsia" w:ascii="Times New Roman" w:hAnsi="Times New Roman" w:eastAsia="宋体" w:cs="Times New Roman"/>
                <w:b/>
                <w:bCs/>
                <w:color w:val="auto"/>
                <w:szCs w:val="21"/>
              </w:rPr>
              <w:t>工业企业噪声源强调查清单（室外）</w:t>
            </w:r>
          </w:p>
          <w:tbl>
            <w:tblPr>
              <w:tblStyle w:val="11"/>
              <w:tblW w:w="499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78"/>
              <w:gridCol w:w="670"/>
              <w:gridCol w:w="643"/>
              <w:gridCol w:w="475"/>
              <w:gridCol w:w="1219"/>
              <w:gridCol w:w="825"/>
              <w:gridCol w:w="1110"/>
              <w:gridCol w:w="951"/>
              <w:gridCol w:w="5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 w:type="pct"/>
                  <w:vMerge w:val="restart"/>
                  <w:noWrap w:val="0"/>
                  <w:vAlign w:val="center"/>
                </w:tcPr>
                <w:p>
                  <w:pPr>
                    <w:pStyle w:val="19"/>
                    <w:spacing w:beforeLines="0" w:afterLines="0" w:line="240" w:lineRule="auto"/>
                    <w:rPr>
                      <w:rFonts w:ascii="Times New Roman"/>
                      <w:b/>
                      <w:bCs/>
                      <w:sz w:val="18"/>
                      <w:szCs w:val="18"/>
                    </w:rPr>
                  </w:pPr>
                  <w:r>
                    <w:rPr>
                      <w:rFonts w:hint="eastAsia" w:ascii="Times New Roman"/>
                      <w:b/>
                      <w:bCs/>
                      <w:sz w:val="18"/>
                      <w:szCs w:val="18"/>
                    </w:rPr>
                    <w:t>序号</w:t>
                  </w:r>
                </w:p>
              </w:tc>
              <w:tc>
                <w:tcPr>
                  <w:tcW w:w="514" w:type="pct"/>
                  <w:vMerge w:val="restart"/>
                  <w:noWrap w:val="0"/>
                  <w:vAlign w:val="center"/>
                </w:tcPr>
                <w:p>
                  <w:pPr>
                    <w:pStyle w:val="19"/>
                    <w:spacing w:beforeLines="0" w:afterLines="0" w:line="240" w:lineRule="auto"/>
                    <w:rPr>
                      <w:rFonts w:ascii="Times New Roman"/>
                      <w:b/>
                      <w:bCs/>
                      <w:sz w:val="18"/>
                      <w:szCs w:val="18"/>
                    </w:rPr>
                  </w:pPr>
                  <w:r>
                    <w:rPr>
                      <w:rFonts w:hint="eastAsia" w:ascii="Times New Roman"/>
                      <w:b/>
                      <w:bCs/>
                      <w:sz w:val="18"/>
                      <w:szCs w:val="18"/>
                    </w:rPr>
                    <w:t>声源名称</w:t>
                  </w:r>
                </w:p>
              </w:tc>
              <w:tc>
                <w:tcPr>
                  <w:tcW w:w="1183" w:type="pct"/>
                  <w:gridSpan w:val="3"/>
                  <w:noWrap w:val="0"/>
                  <w:vAlign w:val="center"/>
                </w:tcPr>
                <w:p>
                  <w:pPr>
                    <w:pStyle w:val="19"/>
                    <w:spacing w:beforeLines="0" w:afterLines="0" w:line="240" w:lineRule="auto"/>
                    <w:rPr>
                      <w:rFonts w:ascii="Times New Roman"/>
                      <w:b/>
                      <w:bCs/>
                      <w:sz w:val="18"/>
                      <w:szCs w:val="18"/>
                    </w:rPr>
                  </w:pPr>
                  <w:r>
                    <w:rPr>
                      <w:rFonts w:hint="eastAsia" w:ascii="Times New Roman"/>
                      <w:b/>
                      <w:bCs/>
                      <w:sz w:val="18"/>
                      <w:szCs w:val="18"/>
                    </w:rPr>
                    <w:t>空间相对位置m</w:t>
                  </w:r>
                </w:p>
              </w:tc>
              <w:tc>
                <w:tcPr>
                  <w:tcW w:w="1352" w:type="pct"/>
                  <w:gridSpan w:val="2"/>
                  <w:noWrap w:val="0"/>
                  <w:vAlign w:val="center"/>
                </w:tcPr>
                <w:p>
                  <w:pPr>
                    <w:pStyle w:val="19"/>
                    <w:spacing w:beforeLines="0" w:afterLines="0" w:line="240" w:lineRule="auto"/>
                    <w:rPr>
                      <w:rFonts w:ascii="Times New Roman"/>
                      <w:b/>
                      <w:bCs/>
                      <w:sz w:val="18"/>
                      <w:szCs w:val="18"/>
                    </w:rPr>
                  </w:pPr>
                  <w:r>
                    <w:rPr>
                      <w:rFonts w:ascii="Times New Roman"/>
                      <w:b/>
                      <w:bCs/>
                      <w:sz w:val="18"/>
                      <w:szCs w:val="18"/>
                    </w:rPr>
                    <w:t>声源源强（任选一种）</w:t>
                  </w:r>
                </w:p>
              </w:tc>
              <w:tc>
                <w:tcPr>
                  <w:tcW w:w="734" w:type="pct"/>
                  <w:vMerge w:val="restart"/>
                  <w:noWrap w:val="0"/>
                  <w:vAlign w:val="center"/>
                </w:tcPr>
                <w:p>
                  <w:pPr>
                    <w:pStyle w:val="19"/>
                    <w:spacing w:beforeLines="0" w:afterLines="0" w:line="240" w:lineRule="auto"/>
                    <w:rPr>
                      <w:rFonts w:ascii="Times New Roman"/>
                      <w:b/>
                      <w:bCs/>
                      <w:sz w:val="18"/>
                      <w:szCs w:val="18"/>
                    </w:rPr>
                  </w:pPr>
                  <w:r>
                    <w:rPr>
                      <w:rFonts w:hint="eastAsia" w:ascii="Times New Roman"/>
                      <w:b/>
                      <w:bCs/>
                      <w:sz w:val="18"/>
                      <w:szCs w:val="18"/>
                    </w:rPr>
                    <w:t>声源控制措施</w:t>
                  </w:r>
                </w:p>
              </w:tc>
              <w:tc>
                <w:tcPr>
                  <w:tcW w:w="629" w:type="pct"/>
                  <w:vMerge w:val="restart"/>
                  <w:noWrap w:val="0"/>
                  <w:vAlign w:val="center"/>
                </w:tcPr>
                <w:p>
                  <w:pPr>
                    <w:pStyle w:val="19"/>
                    <w:spacing w:beforeLines="0" w:afterLines="0" w:line="240" w:lineRule="auto"/>
                    <w:rPr>
                      <w:rFonts w:ascii="Times New Roman"/>
                      <w:b/>
                      <w:bCs/>
                      <w:sz w:val="18"/>
                      <w:szCs w:val="18"/>
                    </w:rPr>
                  </w:pPr>
                  <w:r>
                    <w:rPr>
                      <w:rFonts w:hint="eastAsia" w:ascii="Times New Roman"/>
                      <w:b/>
                      <w:bCs/>
                      <w:sz w:val="18"/>
                      <w:szCs w:val="18"/>
                    </w:rPr>
                    <w:t>采取控制措施后声功率级/dB(A)</w:t>
                  </w:r>
                </w:p>
              </w:tc>
              <w:tc>
                <w:tcPr>
                  <w:tcW w:w="341" w:type="pct"/>
                  <w:vMerge w:val="restart"/>
                  <w:noWrap w:val="0"/>
                  <w:vAlign w:val="center"/>
                </w:tcPr>
                <w:p>
                  <w:pPr>
                    <w:pStyle w:val="19"/>
                    <w:spacing w:beforeLines="0" w:afterLines="0" w:line="240" w:lineRule="auto"/>
                    <w:rPr>
                      <w:rFonts w:ascii="Times New Roman"/>
                      <w:b/>
                      <w:bCs/>
                      <w:sz w:val="18"/>
                      <w:szCs w:val="18"/>
                    </w:rPr>
                  </w:pPr>
                  <w:r>
                    <w:rPr>
                      <w:rFonts w:hint="eastAsia" w:ascii="Times New Roman"/>
                      <w:b/>
                      <w:bCs/>
                      <w:sz w:val="18"/>
                      <w:szCs w:val="18"/>
                    </w:rPr>
                    <w:t>运行时段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 w:type="pct"/>
                  <w:vMerge w:val="continue"/>
                  <w:noWrap w:val="0"/>
                  <w:vAlign w:val="center"/>
                </w:tcPr>
                <w:p>
                  <w:pPr>
                    <w:pStyle w:val="19"/>
                    <w:spacing w:beforeLines="0" w:afterLines="0" w:line="240" w:lineRule="auto"/>
                    <w:rPr>
                      <w:rFonts w:ascii="Times New Roman"/>
                      <w:sz w:val="18"/>
                      <w:szCs w:val="18"/>
                    </w:rPr>
                  </w:pPr>
                </w:p>
              </w:tc>
              <w:tc>
                <w:tcPr>
                  <w:tcW w:w="514" w:type="pct"/>
                  <w:vMerge w:val="continue"/>
                  <w:noWrap w:val="0"/>
                  <w:vAlign w:val="center"/>
                </w:tcPr>
                <w:p>
                  <w:pPr>
                    <w:pStyle w:val="19"/>
                    <w:spacing w:beforeLines="0" w:afterLines="0" w:line="240" w:lineRule="auto"/>
                    <w:rPr>
                      <w:rFonts w:ascii="Times New Roman"/>
                      <w:sz w:val="18"/>
                      <w:szCs w:val="18"/>
                    </w:rPr>
                  </w:pPr>
                </w:p>
              </w:tc>
              <w:tc>
                <w:tcPr>
                  <w:tcW w:w="443" w:type="pct"/>
                  <w:noWrap w:val="0"/>
                  <w:vAlign w:val="center"/>
                </w:tcPr>
                <w:p>
                  <w:pPr>
                    <w:pStyle w:val="19"/>
                    <w:spacing w:beforeLines="0" w:afterLines="0" w:line="240" w:lineRule="auto"/>
                    <w:rPr>
                      <w:rFonts w:ascii="Times New Roman"/>
                      <w:b/>
                      <w:bCs/>
                      <w:sz w:val="18"/>
                      <w:szCs w:val="18"/>
                    </w:rPr>
                  </w:pPr>
                  <w:r>
                    <w:rPr>
                      <w:rFonts w:hint="eastAsia" w:ascii="Times New Roman"/>
                      <w:b/>
                      <w:bCs/>
                      <w:sz w:val="18"/>
                      <w:szCs w:val="18"/>
                    </w:rPr>
                    <w:t>X</w:t>
                  </w:r>
                </w:p>
              </w:tc>
              <w:tc>
                <w:tcPr>
                  <w:tcW w:w="425" w:type="pct"/>
                  <w:noWrap w:val="0"/>
                  <w:vAlign w:val="center"/>
                </w:tcPr>
                <w:p>
                  <w:pPr>
                    <w:pStyle w:val="19"/>
                    <w:spacing w:beforeLines="0" w:afterLines="0" w:line="240" w:lineRule="auto"/>
                    <w:rPr>
                      <w:rFonts w:ascii="Times New Roman"/>
                      <w:b/>
                      <w:bCs/>
                      <w:sz w:val="18"/>
                      <w:szCs w:val="18"/>
                    </w:rPr>
                  </w:pPr>
                  <w:r>
                    <w:rPr>
                      <w:rFonts w:hint="eastAsia" w:ascii="Times New Roman"/>
                      <w:b/>
                      <w:bCs/>
                      <w:sz w:val="18"/>
                      <w:szCs w:val="18"/>
                    </w:rPr>
                    <w:t>Y</w:t>
                  </w:r>
                </w:p>
              </w:tc>
              <w:tc>
                <w:tcPr>
                  <w:tcW w:w="314" w:type="pct"/>
                  <w:noWrap w:val="0"/>
                  <w:vAlign w:val="center"/>
                </w:tcPr>
                <w:p>
                  <w:pPr>
                    <w:pStyle w:val="19"/>
                    <w:spacing w:beforeLines="0" w:afterLines="0" w:line="240" w:lineRule="auto"/>
                    <w:rPr>
                      <w:rFonts w:ascii="Times New Roman"/>
                      <w:b/>
                      <w:bCs/>
                      <w:sz w:val="18"/>
                      <w:szCs w:val="18"/>
                    </w:rPr>
                  </w:pPr>
                  <w:r>
                    <w:rPr>
                      <w:rFonts w:hint="eastAsia" w:ascii="Times New Roman"/>
                      <w:b/>
                      <w:bCs/>
                      <w:sz w:val="18"/>
                      <w:szCs w:val="18"/>
                    </w:rPr>
                    <w:t>Z</w:t>
                  </w:r>
                </w:p>
              </w:tc>
              <w:tc>
                <w:tcPr>
                  <w:tcW w:w="806" w:type="pct"/>
                  <w:noWrap w:val="0"/>
                  <w:vAlign w:val="center"/>
                </w:tcPr>
                <w:p>
                  <w:pPr>
                    <w:pStyle w:val="19"/>
                    <w:spacing w:beforeLines="0" w:afterLines="0" w:line="240" w:lineRule="auto"/>
                    <w:rPr>
                      <w:rFonts w:ascii="Times New Roman"/>
                      <w:b/>
                      <w:bCs/>
                      <w:sz w:val="18"/>
                      <w:szCs w:val="18"/>
                    </w:rPr>
                  </w:pPr>
                  <w:r>
                    <w:rPr>
                      <w:rFonts w:ascii="Times New Roman"/>
                      <w:b/>
                      <w:bCs/>
                      <w:sz w:val="18"/>
                      <w:szCs w:val="18"/>
                    </w:rPr>
                    <w:t>（声压级/距声源距离）/（dB(A)/m）</w:t>
                  </w:r>
                </w:p>
              </w:tc>
              <w:tc>
                <w:tcPr>
                  <w:tcW w:w="545" w:type="pct"/>
                  <w:noWrap w:val="0"/>
                  <w:vAlign w:val="center"/>
                </w:tcPr>
                <w:p>
                  <w:pPr>
                    <w:pStyle w:val="19"/>
                    <w:spacing w:beforeLines="0" w:afterLines="0" w:line="240" w:lineRule="auto"/>
                    <w:rPr>
                      <w:rFonts w:ascii="Times New Roman"/>
                      <w:b/>
                      <w:bCs/>
                      <w:sz w:val="18"/>
                      <w:szCs w:val="18"/>
                    </w:rPr>
                  </w:pPr>
                  <w:r>
                    <w:rPr>
                      <w:rFonts w:ascii="Times New Roman"/>
                      <w:b/>
                      <w:bCs/>
                      <w:sz w:val="18"/>
                      <w:szCs w:val="18"/>
                    </w:rPr>
                    <w:t>声功率级/dB(A)</w:t>
                  </w:r>
                </w:p>
              </w:tc>
              <w:tc>
                <w:tcPr>
                  <w:tcW w:w="734" w:type="pct"/>
                  <w:vMerge w:val="continue"/>
                  <w:noWrap w:val="0"/>
                  <w:vAlign w:val="center"/>
                </w:tcPr>
                <w:p>
                  <w:pPr>
                    <w:pStyle w:val="19"/>
                    <w:spacing w:beforeLines="0" w:afterLines="0" w:line="240" w:lineRule="auto"/>
                    <w:rPr>
                      <w:rFonts w:ascii="Times New Roman"/>
                      <w:sz w:val="18"/>
                      <w:szCs w:val="18"/>
                    </w:rPr>
                  </w:pPr>
                </w:p>
              </w:tc>
              <w:tc>
                <w:tcPr>
                  <w:tcW w:w="629" w:type="pct"/>
                  <w:vMerge w:val="continue"/>
                  <w:noWrap w:val="0"/>
                  <w:vAlign w:val="center"/>
                </w:tcPr>
                <w:p>
                  <w:pPr>
                    <w:pStyle w:val="19"/>
                    <w:spacing w:beforeLines="0" w:afterLines="0" w:line="240" w:lineRule="auto"/>
                    <w:rPr>
                      <w:rFonts w:ascii="Times New Roman"/>
                      <w:sz w:val="18"/>
                      <w:szCs w:val="18"/>
                    </w:rPr>
                  </w:pPr>
                </w:p>
              </w:tc>
              <w:tc>
                <w:tcPr>
                  <w:tcW w:w="341" w:type="pct"/>
                  <w:vMerge w:val="continue"/>
                  <w:noWrap w:val="0"/>
                  <w:vAlign w:val="center"/>
                </w:tcPr>
                <w:p>
                  <w:pPr>
                    <w:pStyle w:val="19"/>
                    <w:spacing w:beforeLines="0" w:afterLines="0" w:line="240" w:lineRule="auto"/>
                    <w:rPr>
                      <w:rFonts w:asci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 w:type="pct"/>
                  <w:noWrap w:val="0"/>
                  <w:vAlign w:val="center"/>
                </w:tcPr>
                <w:p>
                  <w:pPr>
                    <w:pStyle w:val="19"/>
                    <w:spacing w:beforeLines="0" w:afterLines="0" w:line="240" w:lineRule="auto"/>
                    <w:rPr>
                      <w:rFonts w:hint="eastAsia" w:ascii="Times New Roman" w:eastAsia="宋体"/>
                      <w:sz w:val="18"/>
                      <w:szCs w:val="18"/>
                      <w:lang w:eastAsia="zh-CN"/>
                    </w:rPr>
                  </w:pPr>
                  <w:r>
                    <w:rPr>
                      <w:rFonts w:hint="eastAsia" w:ascii="Times New Roman"/>
                      <w:sz w:val="18"/>
                      <w:szCs w:val="18"/>
                      <w:lang w:val="en-US" w:eastAsia="zh-CN"/>
                    </w:rPr>
                    <w:t>1</w:t>
                  </w:r>
                </w:p>
              </w:tc>
              <w:tc>
                <w:tcPr>
                  <w:tcW w:w="514" w:type="pct"/>
                  <w:noWrap w:val="0"/>
                  <w:vAlign w:val="center"/>
                </w:tcPr>
                <w:p>
                  <w:pPr>
                    <w:pStyle w:val="19"/>
                    <w:spacing w:beforeLines="0" w:afterLines="0" w:line="240" w:lineRule="auto"/>
                    <w:rPr>
                      <w:rFonts w:hint="eastAsia" w:ascii="Times New Roman" w:eastAsia="宋体"/>
                      <w:sz w:val="18"/>
                      <w:szCs w:val="18"/>
                      <w:lang w:val="en-US" w:eastAsia="zh-CN"/>
                    </w:rPr>
                  </w:pPr>
                  <w:r>
                    <w:rPr>
                      <w:rFonts w:hint="eastAsia" w:ascii="Times New Roman" w:eastAsia="宋体"/>
                      <w:sz w:val="18"/>
                      <w:szCs w:val="18"/>
                      <w:lang w:eastAsia="zh-CN"/>
                    </w:rPr>
                    <w:t>污水处理站</w:t>
                  </w:r>
                </w:p>
              </w:tc>
              <w:tc>
                <w:tcPr>
                  <w:tcW w:w="443" w:type="pct"/>
                  <w:noWrap w:val="0"/>
                  <w:vAlign w:val="center"/>
                </w:tcPr>
                <w:p>
                  <w:pPr>
                    <w:pStyle w:val="19"/>
                    <w:spacing w:beforeLines="0" w:afterLines="0" w:line="240" w:lineRule="auto"/>
                    <w:rPr>
                      <w:rFonts w:hint="default" w:ascii="Times New Roman" w:eastAsia="宋体"/>
                      <w:sz w:val="18"/>
                      <w:szCs w:val="18"/>
                      <w:lang w:val="en-US" w:eastAsia="zh-CN"/>
                    </w:rPr>
                  </w:pPr>
                  <w:r>
                    <w:rPr>
                      <w:rFonts w:hint="eastAsia" w:ascii="Times New Roman"/>
                      <w:sz w:val="18"/>
                      <w:szCs w:val="18"/>
                      <w:lang w:val="en-US" w:eastAsia="zh-CN"/>
                    </w:rPr>
                    <w:t>60</w:t>
                  </w:r>
                </w:p>
              </w:tc>
              <w:tc>
                <w:tcPr>
                  <w:tcW w:w="425" w:type="pct"/>
                  <w:noWrap w:val="0"/>
                  <w:vAlign w:val="center"/>
                </w:tcPr>
                <w:p>
                  <w:pPr>
                    <w:pStyle w:val="19"/>
                    <w:spacing w:beforeLines="0" w:afterLines="0" w:line="240" w:lineRule="auto"/>
                    <w:rPr>
                      <w:rFonts w:hint="default" w:ascii="Times New Roman" w:eastAsia="宋体"/>
                      <w:sz w:val="18"/>
                      <w:szCs w:val="18"/>
                      <w:lang w:val="en-US" w:eastAsia="zh-CN"/>
                    </w:rPr>
                  </w:pPr>
                  <w:r>
                    <w:rPr>
                      <w:rFonts w:hint="eastAsia" w:ascii="Times New Roman"/>
                      <w:sz w:val="18"/>
                      <w:szCs w:val="18"/>
                      <w:lang w:val="en-US" w:eastAsia="zh-CN"/>
                    </w:rPr>
                    <w:t>40</w:t>
                  </w:r>
                </w:p>
              </w:tc>
              <w:tc>
                <w:tcPr>
                  <w:tcW w:w="314" w:type="pct"/>
                  <w:noWrap w:val="0"/>
                  <w:vAlign w:val="center"/>
                </w:tcPr>
                <w:p>
                  <w:pPr>
                    <w:pStyle w:val="19"/>
                    <w:spacing w:beforeLines="0" w:afterLines="0" w:line="240" w:lineRule="auto"/>
                    <w:rPr>
                      <w:rFonts w:hint="eastAsia" w:ascii="Times New Roman" w:eastAsia="宋体"/>
                      <w:sz w:val="18"/>
                      <w:szCs w:val="18"/>
                      <w:lang w:val="en-US" w:eastAsia="zh-CN"/>
                    </w:rPr>
                  </w:pPr>
                  <w:r>
                    <w:rPr>
                      <w:rFonts w:hint="eastAsia" w:ascii="Times New Roman"/>
                      <w:sz w:val="18"/>
                      <w:szCs w:val="18"/>
                      <w:lang w:val="en-US" w:eastAsia="zh-CN"/>
                    </w:rPr>
                    <w:t>2</w:t>
                  </w:r>
                </w:p>
              </w:tc>
              <w:tc>
                <w:tcPr>
                  <w:tcW w:w="806" w:type="pct"/>
                  <w:noWrap w:val="0"/>
                  <w:vAlign w:val="center"/>
                </w:tcPr>
                <w:p>
                  <w:pPr>
                    <w:pStyle w:val="19"/>
                    <w:spacing w:beforeLines="0" w:afterLines="0" w:line="240" w:lineRule="auto"/>
                    <w:rPr>
                      <w:rFonts w:ascii="Times New Roman"/>
                      <w:sz w:val="18"/>
                      <w:szCs w:val="18"/>
                    </w:rPr>
                  </w:pPr>
                  <w:r>
                    <w:rPr>
                      <w:rFonts w:hint="eastAsia" w:ascii="Times New Roman"/>
                      <w:sz w:val="18"/>
                      <w:szCs w:val="18"/>
                    </w:rPr>
                    <w:t>/</w:t>
                  </w:r>
                </w:p>
              </w:tc>
              <w:tc>
                <w:tcPr>
                  <w:tcW w:w="545" w:type="pct"/>
                  <w:noWrap w:val="0"/>
                  <w:vAlign w:val="center"/>
                </w:tcPr>
                <w:p>
                  <w:pPr>
                    <w:pStyle w:val="19"/>
                    <w:spacing w:beforeLines="0" w:afterLines="0" w:line="240" w:lineRule="auto"/>
                    <w:rPr>
                      <w:rFonts w:ascii="Times New Roman"/>
                      <w:sz w:val="18"/>
                      <w:szCs w:val="18"/>
                    </w:rPr>
                  </w:pPr>
                  <w:r>
                    <w:rPr>
                      <w:rFonts w:ascii="Times New Roman"/>
                      <w:sz w:val="18"/>
                      <w:szCs w:val="18"/>
                    </w:rPr>
                    <w:t>8</w:t>
                  </w:r>
                  <w:r>
                    <w:rPr>
                      <w:rFonts w:hint="eastAsia" w:ascii="Times New Roman"/>
                      <w:sz w:val="18"/>
                      <w:szCs w:val="18"/>
                    </w:rPr>
                    <w:t>5</w:t>
                  </w:r>
                </w:p>
              </w:tc>
              <w:tc>
                <w:tcPr>
                  <w:tcW w:w="734" w:type="pct"/>
                  <w:noWrap w:val="0"/>
                  <w:vAlign w:val="center"/>
                </w:tcPr>
                <w:p>
                  <w:pPr>
                    <w:pStyle w:val="19"/>
                    <w:spacing w:beforeLines="0" w:afterLines="0" w:line="240" w:lineRule="auto"/>
                    <w:rPr>
                      <w:rFonts w:hint="eastAsia" w:ascii="Times New Roman"/>
                      <w:sz w:val="18"/>
                      <w:szCs w:val="18"/>
                    </w:rPr>
                  </w:pPr>
                  <w:r>
                    <w:rPr>
                      <w:rFonts w:ascii="Times New Roman" w:hAnsi="Times New Roman"/>
                      <w:sz w:val="18"/>
                      <w:szCs w:val="18"/>
                    </w:rPr>
                    <w:t>减震基础、软连接、隔声罩</w:t>
                  </w:r>
                </w:p>
              </w:tc>
              <w:tc>
                <w:tcPr>
                  <w:tcW w:w="629" w:type="pct"/>
                  <w:noWrap w:val="0"/>
                  <w:vAlign w:val="center"/>
                </w:tcPr>
                <w:p>
                  <w:pPr>
                    <w:pStyle w:val="19"/>
                    <w:spacing w:beforeLines="0" w:afterLines="0" w:line="240" w:lineRule="auto"/>
                    <w:rPr>
                      <w:rFonts w:hint="eastAsia" w:ascii="Times New Roman"/>
                      <w:sz w:val="18"/>
                      <w:szCs w:val="18"/>
                    </w:rPr>
                  </w:pPr>
                  <w:r>
                    <w:rPr>
                      <w:rFonts w:hint="eastAsia" w:ascii="Times New Roman"/>
                      <w:sz w:val="18"/>
                      <w:szCs w:val="18"/>
                    </w:rPr>
                    <w:t>75</w:t>
                  </w:r>
                </w:p>
              </w:tc>
              <w:tc>
                <w:tcPr>
                  <w:tcW w:w="341" w:type="pct"/>
                  <w:noWrap w:val="0"/>
                  <w:vAlign w:val="center"/>
                </w:tcPr>
                <w:p>
                  <w:pPr>
                    <w:pStyle w:val="19"/>
                    <w:spacing w:beforeLines="0" w:afterLines="0" w:line="240" w:lineRule="auto"/>
                    <w:rPr>
                      <w:rFonts w:hint="eastAsia" w:ascii="Times New Roman" w:eastAsia="宋体"/>
                      <w:sz w:val="18"/>
                      <w:szCs w:val="18"/>
                      <w:lang w:eastAsia="zh-CN"/>
                    </w:rPr>
                  </w:pPr>
                  <w:r>
                    <w:rPr>
                      <w:rFonts w:hint="eastAsia" w:ascii="Times New Roman"/>
                      <w:sz w:val="18"/>
                      <w:szCs w:val="18"/>
                      <w:lang w:eastAsia="zh-CN"/>
                    </w:rPr>
                    <w:t>昼</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301" w:firstLineChars="200"/>
              <w:textAlignment w:val="auto"/>
              <w:rPr>
                <w:rFonts w:hint="eastAsia"/>
                <w:b/>
                <w:bCs/>
                <w:color w:val="auto"/>
                <w:sz w:val="15"/>
                <w:szCs w:val="15"/>
              </w:rPr>
            </w:pPr>
            <w:r>
              <w:rPr>
                <w:rFonts w:hint="eastAsia"/>
                <w:b/>
                <w:bCs/>
                <w:color w:val="auto"/>
                <w:sz w:val="15"/>
                <w:szCs w:val="15"/>
              </w:rPr>
              <w:t>注：以</w:t>
            </w:r>
            <w:r>
              <w:rPr>
                <w:rFonts w:hint="eastAsia"/>
                <w:b/>
                <w:bCs/>
                <w:color w:val="auto"/>
                <w:sz w:val="15"/>
                <w:szCs w:val="15"/>
                <w:lang w:val="en-US" w:eastAsia="zh-CN"/>
              </w:rPr>
              <w:t>厂区最西侧角</w:t>
            </w:r>
            <w:r>
              <w:rPr>
                <w:rFonts w:hint="eastAsia"/>
                <w:b/>
                <w:bCs/>
                <w:color w:val="auto"/>
                <w:sz w:val="15"/>
                <w:szCs w:val="15"/>
              </w:rPr>
              <w:t>为（</w:t>
            </w:r>
            <w:r>
              <w:rPr>
                <w:b/>
                <w:bCs/>
                <w:color w:val="auto"/>
                <w:sz w:val="15"/>
                <w:szCs w:val="15"/>
              </w:rPr>
              <w:t>0.0</w:t>
            </w:r>
            <w:r>
              <w:rPr>
                <w:rFonts w:hint="eastAsia"/>
                <w:b/>
                <w:bCs/>
                <w:color w:val="auto"/>
                <w:sz w:val="15"/>
                <w:szCs w:val="15"/>
              </w:rPr>
              <w:t>）点，正东向为</w:t>
            </w:r>
            <w:r>
              <w:rPr>
                <w:b/>
                <w:bCs/>
                <w:color w:val="auto"/>
                <w:sz w:val="15"/>
                <w:szCs w:val="15"/>
              </w:rPr>
              <w:t>X</w:t>
            </w:r>
            <w:r>
              <w:rPr>
                <w:rFonts w:hint="eastAsia"/>
                <w:b/>
                <w:bCs/>
                <w:color w:val="auto"/>
                <w:sz w:val="15"/>
                <w:szCs w:val="15"/>
              </w:rPr>
              <w:t>轴正方向，正北向为</w:t>
            </w:r>
            <w:r>
              <w:rPr>
                <w:b/>
                <w:bCs/>
                <w:color w:val="auto"/>
                <w:sz w:val="15"/>
                <w:szCs w:val="15"/>
              </w:rPr>
              <w:t>Y</w:t>
            </w:r>
            <w:r>
              <w:rPr>
                <w:rFonts w:hint="eastAsia"/>
                <w:b/>
                <w:bCs/>
                <w:color w:val="auto"/>
                <w:sz w:val="15"/>
                <w:szCs w:val="15"/>
              </w:rPr>
              <w:t>轴正方向；</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b/>
                <w:bCs/>
                <w:szCs w:val="21"/>
              </w:rPr>
            </w:pPr>
            <w:r>
              <w:rPr>
                <w:b/>
                <w:bCs/>
                <w:szCs w:val="21"/>
              </w:rPr>
              <w:t>2、</w:t>
            </w:r>
            <w:r>
              <w:rPr>
                <w:rFonts w:hint="eastAsia"/>
                <w:b/>
                <w:bCs/>
                <w:szCs w:val="21"/>
              </w:rPr>
              <w:t>降噪措施</w:t>
            </w:r>
          </w:p>
          <w:p>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bCs/>
                <w:szCs w:val="21"/>
              </w:rPr>
            </w:pPr>
            <w:r>
              <w:rPr>
                <w:bCs/>
                <w:szCs w:val="21"/>
              </w:rPr>
              <w:t>为了减轻设备运行产生的噪声对周围环境的影响，建设方拟采取如下降噪措施：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szCs w:val="21"/>
              </w:rPr>
            </w:pPr>
            <w:r>
              <w:rPr>
                <w:szCs w:val="21"/>
              </w:rPr>
              <w:t>①合理布置</w:t>
            </w:r>
            <w:r>
              <w:rPr>
                <w:rFonts w:hint="eastAsia"/>
                <w:szCs w:val="21"/>
              </w:rPr>
              <w:t>生产</w:t>
            </w:r>
            <w:r>
              <w:rPr>
                <w:szCs w:val="21"/>
              </w:rPr>
              <w:t>车间平面布局，新增各类设备均设置在厂房内，使高噪声设备尽可能远离厂界；</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szCs w:val="21"/>
              </w:rPr>
            </w:pPr>
            <w:r>
              <w:rPr>
                <w:szCs w:val="21"/>
              </w:rPr>
              <w:t>②对于高噪声的生产设备，底座设置减振、隔声垫，降低噪声影响；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szCs w:val="21"/>
              </w:rPr>
            </w:pPr>
            <w:r>
              <w:rPr>
                <w:szCs w:val="21"/>
              </w:rPr>
              <w:t>③加强管理，加强对企业操作人员的业务管理，加强设备的维护保养，确保设备处于良好的运转状态，杜绝设备不正常运转产生的高噪声现象。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szCs w:val="21"/>
              </w:rPr>
            </w:pPr>
            <w:r>
              <w:rPr>
                <w:szCs w:val="21"/>
              </w:rPr>
              <w:t>④搞好绿化：厂房围墙采用实心墙，厂区种植绿化带，以美化环境和降噪。</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b/>
                <w:bCs/>
                <w:szCs w:val="21"/>
              </w:rPr>
            </w:pPr>
            <w:r>
              <w:rPr>
                <w:rFonts w:hint="eastAsia"/>
                <w:b/>
                <w:bCs/>
                <w:szCs w:val="21"/>
              </w:rPr>
              <w:t>3</w:t>
            </w:r>
            <w:r>
              <w:rPr>
                <w:b/>
                <w:bCs/>
                <w:szCs w:val="21"/>
              </w:rPr>
              <w:t>、达标</w:t>
            </w:r>
            <w:r>
              <w:rPr>
                <w:rFonts w:hint="eastAsia"/>
                <w:b/>
                <w:bCs/>
                <w:szCs w:val="21"/>
              </w:rPr>
              <w:t>情况</w:t>
            </w:r>
            <w:r>
              <w:rPr>
                <w:b/>
                <w:bCs/>
                <w:szCs w:val="21"/>
              </w:rPr>
              <w:t>分析</w:t>
            </w:r>
          </w:p>
          <w:p>
            <w:pPr>
              <w:keepNext w:val="0"/>
              <w:keepLines w:val="0"/>
              <w:pageBreakBefore w:val="0"/>
              <w:widowControl w:val="0"/>
              <w:tabs>
                <w:tab w:val="left" w:pos="567"/>
                <w:tab w:val="left" w:pos="1843"/>
              </w:tabs>
              <w:kinsoku/>
              <w:wordWrap/>
              <w:overflowPunct/>
              <w:topLinePunct w:val="0"/>
              <w:autoSpaceDE/>
              <w:autoSpaceDN/>
              <w:bidi w:val="0"/>
              <w:adjustRightInd w:val="0"/>
              <w:snapToGrid w:val="0"/>
              <w:spacing w:line="500" w:lineRule="exact"/>
              <w:ind w:firstLine="480"/>
              <w:textAlignment w:val="auto"/>
              <w:rPr>
                <w:kern w:val="0"/>
                <w:szCs w:val="21"/>
              </w:rPr>
            </w:pPr>
            <w:r>
              <w:rPr>
                <w:rFonts w:hint="eastAsia"/>
                <w:szCs w:val="21"/>
              </w:rPr>
              <w:t>项目厂界噪声预测结果与达标分析</w:t>
            </w:r>
            <w:r>
              <w:rPr>
                <w:szCs w:val="21"/>
              </w:rPr>
              <w:t>见表</w:t>
            </w:r>
            <w:r>
              <w:rPr>
                <w:rFonts w:hint="eastAsia"/>
                <w:szCs w:val="21"/>
              </w:rPr>
              <w:t>4-</w:t>
            </w:r>
            <w:r>
              <w:rPr>
                <w:rFonts w:hint="eastAsia"/>
                <w:szCs w:val="21"/>
                <w:lang w:val="en-US" w:eastAsia="zh-CN"/>
              </w:rPr>
              <w:t>13</w:t>
            </w:r>
            <w:r>
              <w:rPr>
                <w:szCs w:val="21"/>
              </w:rPr>
              <w:t>。</w:t>
            </w:r>
          </w:p>
          <w:p>
            <w:pPr>
              <w:autoSpaceDE w:val="0"/>
              <w:autoSpaceDN w:val="0"/>
              <w:adjustRightInd w:val="0"/>
              <w:spacing w:line="500" w:lineRule="exact"/>
              <w:jc w:val="center"/>
              <w:rPr>
                <w:b/>
                <w:bCs/>
                <w:color w:val="auto"/>
                <w:highlight w:val="none"/>
              </w:rPr>
            </w:pPr>
            <w:r>
              <w:rPr>
                <w:b/>
                <w:bCs/>
                <w:color w:val="auto"/>
                <w:highlight w:val="none"/>
              </w:rPr>
              <w:t>表4-1</w:t>
            </w:r>
            <w:r>
              <w:rPr>
                <w:rFonts w:hint="eastAsia"/>
                <w:b/>
                <w:bCs/>
                <w:color w:val="auto"/>
                <w:highlight w:val="none"/>
                <w:lang w:val="en-US" w:eastAsia="zh-CN"/>
              </w:rPr>
              <w:t>3</w:t>
            </w:r>
            <w:r>
              <w:rPr>
                <w:b/>
                <w:bCs/>
                <w:color w:val="auto"/>
                <w:highlight w:val="none"/>
              </w:rPr>
              <w:t xml:space="preserve">  厂界噪声预测结果与达标分析表（单位：dB(A)）</w:t>
            </w:r>
          </w:p>
          <w:tbl>
            <w:tblPr>
              <w:tblStyle w:val="11"/>
              <w:tblW w:w="759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0"/>
              <w:gridCol w:w="978"/>
              <w:gridCol w:w="657"/>
              <w:gridCol w:w="676"/>
              <w:gridCol w:w="752"/>
              <w:gridCol w:w="901"/>
              <w:gridCol w:w="826"/>
              <w:gridCol w:w="921"/>
              <w:gridCol w:w="9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38" w:type="pct"/>
                  <w:vMerge w:val="restart"/>
                  <w:noWrap w:val="0"/>
                  <w:vAlign w:val="center"/>
                </w:tcPr>
                <w:p>
                  <w:pPr>
                    <w:jc w:val="center"/>
                    <w:rPr>
                      <w:color w:val="auto"/>
                      <w:sz w:val="18"/>
                      <w:szCs w:val="18"/>
                      <w:highlight w:val="none"/>
                    </w:rPr>
                  </w:pPr>
                  <w:r>
                    <w:rPr>
                      <w:color w:val="auto"/>
                      <w:sz w:val="18"/>
                      <w:szCs w:val="18"/>
                      <w:highlight w:val="none"/>
                    </w:rPr>
                    <w:t>预测</w:t>
                  </w:r>
                </w:p>
                <w:p>
                  <w:pPr>
                    <w:jc w:val="center"/>
                    <w:rPr>
                      <w:color w:val="auto"/>
                      <w:sz w:val="18"/>
                      <w:szCs w:val="18"/>
                      <w:highlight w:val="none"/>
                    </w:rPr>
                  </w:pPr>
                  <w:r>
                    <w:rPr>
                      <w:color w:val="auto"/>
                      <w:sz w:val="18"/>
                      <w:szCs w:val="18"/>
                      <w:highlight w:val="none"/>
                    </w:rPr>
                    <w:t>方位</w:t>
                  </w:r>
                </w:p>
              </w:tc>
              <w:tc>
                <w:tcPr>
                  <w:tcW w:w="643" w:type="pct"/>
                  <w:vMerge w:val="restart"/>
                  <w:noWrap w:val="0"/>
                  <w:vAlign w:val="center"/>
                </w:tcPr>
                <w:p>
                  <w:pPr>
                    <w:jc w:val="center"/>
                    <w:rPr>
                      <w:color w:val="auto"/>
                      <w:sz w:val="18"/>
                      <w:szCs w:val="18"/>
                      <w:highlight w:val="none"/>
                    </w:rPr>
                  </w:pPr>
                  <w:r>
                    <w:rPr>
                      <w:color w:val="auto"/>
                      <w:sz w:val="18"/>
                      <w:szCs w:val="18"/>
                      <w:highlight w:val="none"/>
                    </w:rPr>
                    <w:t>时段</w:t>
                  </w:r>
                </w:p>
              </w:tc>
              <w:tc>
                <w:tcPr>
                  <w:tcW w:w="432" w:type="pct"/>
                  <w:vMerge w:val="restart"/>
                  <w:noWrap w:val="0"/>
                  <w:vAlign w:val="center"/>
                </w:tcPr>
                <w:p>
                  <w:pPr>
                    <w:jc w:val="center"/>
                    <w:rPr>
                      <w:rFonts w:hint="eastAsia" w:eastAsia="宋体"/>
                      <w:color w:val="auto"/>
                      <w:sz w:val="18"/>
                      <w:szCs w:val="18"/>
                      <w:highlight w:val="none"/>
                      <w:lang w:eastAsia="zh-CN"/>
                    </w:rPr>
                  </w:pPr>
                  <w:r>
                    <w:rPr>
                      <w:rFonts w:hint="eastAsia"/>
                      <w:color w:val="auto"/>
                      <w:sz w:val="18"/>
                      <w:szCs w:val="18"/>
                      <w:highlight w:val="none"/>
                      <w:lang w:eastAsia="zh-CN"/>
                    </w:rPr>
                    <w:t>标准值</w:t>
                  </w:r>
                </w:p>
              </w:tc>
              <w:tc>
                <w:tcPr>
                  <w:tcW w:w="445" w:type="pct"/>
                  <w:vMerge w:val="restart"/>
                  <w:noWrap w:val="0"/>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背景值</w:t>
                  </w:r>
                </w:p>
              </w:tc>
              <w:tc>
                <w:tcPr>
                  <w:tcW w:w="495" w:type="pct"/>
                  <w:vMerge w:val="restart"/>
                  <w:noWrap w:val="0"/>
                  <w:vAlign w:val="center"/>
                </w:tcPr>
                <w:p>
                  <w:pPr>
                    <w:jc w:val="center"/>
                    <w:rPr>
                      <w:color w:val="auto"/>
                      <w:sz w:val="18"/>
                      <w:szCs w:val="18"/>
                      <w:highlight w:val="none"/>
                    </w:rPr>
                  </w:pPr>
                  <w:r>
                    <w:rPr>
                      <w:color w:val="auto"/>
                      <w:sz w:val="18"/>
                      <w:szCs w:val="18"/>
                      <w:highlight w:val="none"/>
                    </w:rPr>
                    <w:t>现状值</w:t>
                  </w:r>
                </w:p>
              </w:tc>
              <w:tc>
                <w:tcPr>
                  <w:tcW w:w="593" w:type="pct"/>
                  <w:vMerge w:val="restart"/>
                  <w:noWrap w:val="0"/>
                  <w:vAlign w:val="center"/>
                </w:tcPr>
                <w:p>
                  <w:pPr>
                    <w:jc w:val="center"/>
                    <w:rPr>
                      <w:color w:val="auto"/>
                      <w:sz w:val="18"/>
                      <w:szCs w:val="18"/>
                      <w:highlight w:val="none"/>
                    </w:rPr>
                  </w:pPr>
                  <w:r>
                    <w:rPr>
                      <w:color w:val="auto"/>
                      <w:sz w:val="18"/>
                      <w:szCs w:val="18"/>
                      <w:highlight w:val="none"/>
                    </w:rPr>
                    <w:t>贡献值</w:t>
                  </w:r>
                </w:p>
              </w:tc>
              <w:tc>
                <w:tcPr>
                  <w:tcW w:w="543" w:type="pct"/>
                  <w:vMerge w:val="restart"/>
                  <w:noWrap w:val="0"/>
                  <w:vAlign w:val="center"/>
                </w:tcPr>
                <w:p>
                  <w:pPr>
                    <w:jc w:val="center"/>
                    <w:rPr>
                      <w:color w:val="auto"/>
                      <w:sz w:val="18"/>
                      <w:szCs w:val="18"/>
                      <w:highlight w:val="none"/>
                    </w:rPr>
                  </w:pPr>
                  <w:r>
                    <w:rPr>
                      <w:color w:val="auto"/>
                      <w:sz w:val="18"/>
                      <w:szCs w:val="18"/>
                      <w:highlight w:val="none"/>
                    </w:rPr>
                    <w:t>预测值</w:t>
                  </w:r>
                </w:p>
              </w:tc>
              <w:tc>
                <w:tcPr>
                  <w:tcW w:w="606" w:type="pct"/>
                  <w:vMerge w:val="restart"/>
                  <w:noWrap w:val="0"/>
                  <w:vAlign w:val="center"/>
                </w:tcPr>
                <w:p>
                  <w:pPr>
                    <w:jc w:val="center"/>
                    <w:rPr>
                      <w:rFonts w:hint="eastAsia" w:eastAsia="宋体"/>
                      <w:color w:val="auto"/>
                      <w:sz w:val="18"/>
                      <w:szCs w:val="18"/>
                      <w:highlight w:val="none"/>
                      <w:lang w:eastAsia="zh-CN"/>
                    </w:rPr>
                  </w:pPr>
                  <w:r>
                    <w:rPr>
                      <w:rFonts w:hint="eastAsia"/>
                      <w:color w:val="auto"/>
                      <w:sz w:val="18"/>
                      <w:szCs w:val="18"/>
                      <w:highlight w:val="none"/>
                      <w:lang w:eastAsia="zh-CN"/>
                    </w:rPr>
                    <w:t>较现状增量</w:t>
                  </w:r>
                </w:p>
              </w:tc>
              <w:tc>
                <w:tcPr>
                  <w:tcW w:w="601" w:type="pct"/>
                  <w:vMerge w:val="restart"/>
                  <w:noWrap w:val="0"/>
                  <w:vAlign w:val="center"/>
                </w:tcPr>
                <w:p>
                  <w:pPr>
                    <w:jc w:val="center"/>
                    <w:rPr>
                      <w:color w:val="auto"/>
                      <w:sz w:val="18"/>
                      <w:szCs w:val="18"/>
                      <w:highlight w:val="none"/>
                    </w:rPr>
                  </w:pPr>
                  <w:r>
                    <w:rPr>
                      <w:color w:val="auto"/>
                      <w:sz w:val="18"/>
                      <w:szCs w:val="18"/>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38" w:type="pct"/>
                  <w:vMerge w:val="continue"/>
                  <w:noWrap w:val="0"/>
                  <w:vAlign w:val="center"/>
                </w:tcPr>
                <w:p>
                  <w:pPr>
                    <w:jc w:val="center"/>
                    <w:rPr>
                      <w:color w:val="auto"/>
                      <w:highlight w:val="none"/>
                    </w:rPr>
                  </w:pPr>
                </w:p>
              </w:tc>
              <w:tc>
                <w:tcPr>
                  <w:tcW w:w="643" w:type="pct"/>
                  <w:vMerge w:val="continue"/>
                  <w:noWrap w:val="0"/>
                  <w:vAlign w:val="center"/>
                </w:tcPr>
                <w:p>
                  <w:pPr>
                    <w:jc w:val="center"/>
                    <w:rPr>
                      <w:color w:val="auto"/>
                      <w:highlight w:val="none"/>
                    </w:rPr>
                  </w:pPr>
                </w:p>
              </w:tc>
              <w:tc>
                <w:tcPr>
                  <w:tcW w:w="432" w:type="pct"/>
                  <w:vMerge w:val="continue"/>
                  <w:noWrap w:val="0"/>
                  <w:vAlign w:val="center"/>
                </w:tcPr>
                <w:p>
                  <w:pPr>
                    <w:jc w:val="center"/>
                    <w:rPr>
                      <w:color w:val="auto"/>
                      <w:sz w:val="18"/>
                      <w:szCs w:val="18"/>
                      <w:highlight w:val="none"/>
                    </w:rPr>
                  </w:pPr>
                </w:p>
              </w:tc>
              <w:tc>
                <w:tcPr>
                  <w:tcW w:w="445" w:type="pct"/>
                  <w:vMerge w:val="continue"/>
                  <w:noWrap w:val="0"/>
                  <w:vAlign w:val="center"/>
                </w:tcPr>
                <w:p>
                  <w:pPr>
                    <w:jc w:val="center"/>
                    <w:rPr>
                      <w:color w:val="auto"/>
                      <w:sz w:val="18"/>
                      <w:szCs w:val="18"/>
                      <w:highlight w:val="none"/>
                    </w:rPr>
                  </w:pPr>
                </w:p>
              </w:tc>
              <w:tc>
                <w:tcPr>
                  <w:tcW w:w="495" w:type="pct"/>
                  <w:vMerge w:val="continue"/>
                  <w:noWrap w:val="0"/>
                  <w:vAlign w:val="center"/>
                </w:tcPr>
                <w:p>
                  <w:pPr>
                    <w:jc w:val="center"/>
                    <w:rPr>
                      <w:color w:val="auto"/>
                      <w:sz w:val="18"/>
                      <w:szCs w:val="18"/>
                      <w:highlight w:val="none"/>
                    </w:rPr>
                  </w:pPr>
                </w:p>
              </w:tc>
              <w:tc>
                <w:tcPr>
                  <w:tcW w:w="593" w:type="pct"/>
                  <w:vMerge w:val="continue"/>
                  <w:noWrap w:val="0"/>
                  <w:vAlign w:val="center"/>
                </w:tcPr>
                <w:p>
                  <w:pPr>
                    <w:jc w:val="center"/>
                    <w:rPr>
                      <w:color w:val="auto"/>
                      <w:sz w:val="18"/>
                      <w:szCs w:val="18"/>
                      <w:highlight w:val="none"/>
                    </w:rPr>
                  </w:pPr>
                </w:p>
              </w:tc>
              <w:tc>
                <w:tcPr>
                  <w:tcW w:w="543" w:type="pct"/>
                  <w:vMerge w:val="continue"/>
                  <w:noWrap w:val="0"/>
                  <w:vAlign w:val="center"/>
                </w:tcPr>
                <w:p>
                  <w:pPr>
                    <w:jc w:val="center"/>
                    <w:rPr>
                      <w:color w:val="auto"/>
                      <w:sz w:val="18"/>
                      <w:szCs w:val="18"/>
                      <w:highlight w:val="none"/>
                    </w:rPr>
                  </w:pPr>
                </w:p>
              </w:tc>
              <w:tc>
                <w:tcPr>
                  <w:tcW w:w="606" w:type="pct"/>
                  <w:vMerge w:val="continue"/>
                  <w:noWrap w:val="0"/>
                  <w:vAlign w:val="center"/>
                </w:tcPr>
                <w:p>
                  <w:pPr>
                    <w:jc w:val="center"/>
                    <w:rPr>
                      <w:color w:val="auto"/>
                      <w:sz w:val="18"/>
                      <w:szCs w:val="18"/>
                      <w:highlight w:val="none"/>
                    </w:rPr>
                  </w:pPr>
                </w:p>
              </w:tc>
              <w:tc>
                <w:tcPr>
                  <w:tcW w:w="601" w:type="pct"/>
                  <w:vMerge w:val="continue"/>
                  <w:noWrap w:val="0"/>
                  <w:vAlign w:val="center"/>
                </w:tcPr>
                <w:p>
                  <w:pPr>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38" w:type="pct"/>
                  <w:shd w:val="clear" w:color="auto" w:fill="FFFFFF"/>
                  <w:noWrap w:val="0"/>
                  <w:vAlign w:val="center"/>
                </w:tcPr>
                <w:p>
                  <w:pPr>
                    <w:adjustRightInd w:val="0"/>
                    <w:snapToGrid w:val="0"/>
                    <w:jc w:val="center"/>
                    <w:rPr>
                      <w:color w:val="auto"/>
                      <w:sz w:val="18"/>
                      <w:szCs w:val="18"/>
                      <w:highlight w:val="none"/>
                    </w:rPr>
                  </w:pPr>
                  <w:r>
                    <w:rPr>
                      <w:rFonts w:hint="eastAsia"/>
                      <w:color w:val="auto"/>
                      <w:sz w:val="18"/>
                      <w:szCs w:val="18"/>
                      <w:highlight w:val="none"/>
                    </w:rPr>
                    <w:t>东</w:t>
                  </w:r>
                  <w:r>
                    <w:rPr>
                      <w:color w:val="auto"/>
                      <w:sz w:val="18"/>
                      <w:szCs w:val="18"/>
                      <w:highlight w:val="none"/>
                    </w:rPr>
                    <w:t>厂界</w:t>
                  </w:r>
                </w:p>
              </w:tc>
              <w:tc>
                <w:tcPr>
                  <w:tcW w:w="643" w:type="pct"/>
                  <w:shd w:val="clear" w:color="auto" w:fill="FFFFFF"/>
                  <w:noWrap w:val="0"/>
                  <w:vAlign w:val="center"/>
                </w:tcPr>
                <w:p>
                  <w:pPr>
                    <w:jc w:val="center"/>
                    <w:rPr>
                      <w:color w:val="auto"/>
                      <w:sz w:val="18"/>
                      <w:szCs w:val="18"/>
                      <w:highlight w:val="none"/>
                    </w:rPr>
                  </w:pPr>
                  <w:r>
                    <w:rPr>
                      <w:color w:val="auto"/>
                      <w:sz w:val="18"/>
                      <w:szCs w:val="18"/>
                      <w:highlight w:val="none"/>
                    </w:rPr>
                    <w:t>昼间</w:t>
                  </w:r>
                </w:p>
              </w:tc>
              <w:tc>
                <w:tcPr>
                  <w:tcW w:w="432" w:type="pct"/>
                  <w:shd w:val="clear" w:color="auto" w:fill="FFFFFF"/>
                  <w:noWrap w:val="0"/>
                  <w:vAlign w:val="center"/>
                </w:tcPr>
                <w:p>
                  <w:pPr>
                    <w:adjustRightInd w:val="0"/>
                    <w:snapToGrid w:val="0"/>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60</w:t>
                  </w:r>
                </w:p>
              </w:tc>
              <w:tc>
                <w:tcPr>
                  <w:tcW w:w="445" w:type="pct"/>
                  <w:shd w:val="clear" w:color="auto" w:fill="FFFFFF"/>
                  <w:noWrap w:val="0"/>
                  <w:vAlign w:val="center"/>
                </w:tcPr>
                <w:p>
                  <w:pPr>
                    <w:adjustRightInd w:val="0"/>
                    <w:snapToGrid w:val="0"/>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52.7</w:t>
                  </w:r>
                </w:p>
              </w:tc>
              <w:tc>
                <w:tcPr>
                  <w:tcW w:w="495" w:type="pct"/>
                  <w:shd w:val="clear" w:color="auto" w:fill="FFFFFF"/>
                  <w:noWrap w:val="0"/>
                  <w:vAlign w:val="center"/>
                </w:tcPr>
                <w:p>
                  <w:pPr>
                    <w:adjustRightInd w:val="0"/>
                    <w:snapToGrid w:val="0"/>
                    <w:jc w:val="center"/>
                    <w:rPr>
                      <w:rFonts w:hint="eastAsia" w:eastAsia="宋体"/>
                      <w:color w:val="auto"/>
                      <w:kern w:val="2"/>
                      <w:sz w:val="18"/>
                      <w:szCs w:val="18"/>
                      <w:highlight w:val="none"/>
                      <w:lang w:val="en-US" w:eastAsia="zh-CN" w:bidi="ar-SA"/>
                    </w:rPr>
                  </w:pPr>
                  <w:r>
                    <w:rPr>
                      <w:rFonts w:hint="eastAsia" w:eastAsia="宋体"/>
                      <w:color w:val="auto"/>
                      <w:sz w:val="18"/>
                      <w:szCs w:val="18"/>
                      <w:highlight w:val="none"/>
                      <w:lang w:val="en-US" w:eastAsia="zh-CN"/>
                    </w:rPr>
                    <w:t>/</w:t>
                  </w:r>
                </w:p>
              </w:tc>
              <w:tc>
                <w:tcPr>
                  <w:tcW w:w="593" w:type="pct"/>
                  <w:shd w:val="clear" w:color="auto" w:fill="FFFFFF"/>
                  <w:noWrap w:val="0"/>
                  <w:vAlign w:val="center"/>
                </w:tcPr>
                <w:p>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32</w:t>
                  </w:r>
                </w:p>
              </w:tc>
              <w:tc>
                <w:tcPr>
                  <w:tcW w:w="543" w:type="pct"/>
                  <w:shd w:val="clear" w:color="auto" w:fill="FFFFFF"/>
                  <w:noWrap w:val="0"/>
                  <w:vAlign w:val="center"/>
                </w:tcPr>
                <w:p>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w:t>
                  </w:r>
                </w:p>
              </w:tc>
              <w:tc>
                <w:tcPr>
                  <w:tcW w:w="606" w:type="pct"/>
                  <w:shd w:val="clear" w:color="auto" w:fill="FFFFFF"/>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w:t>
                  </w:r>
                </w:p>
              </w:tc>
              <w:tc>
                <w:tcPr>
                  <w:tcW w:w="601" w:type="pct"/>
                  <w:shd w:val="clear" w:color="auto" w:fill="FFFFFF"/>
                  <w:noWrap w:val="0"/>
                  <w:vAlign w:val="center"/>
                </w:tcPr>
                <w:p>
                  <w:pPr>
                    <w:jc w:val="center"/>
                    <w:rPr>
                      <w:rFonts w:hint="eastAsia"/>
                      <w:color w:val="auto"/>
                      <w:kern w:val="2"/>
                      <w:sz w:val="18"/>
                      <w:szCs w:val="18"/>
                      <w:highlight w:val="none"/>
                      <w:lang w:val="en-US" w:eastAsia="zh-CN" w:bidi="ar-SA"/>
                    </w:rPr>
                  </w:pPr>
                  <w:r>
                    <w:rPr>
                      <w:rFonts w:hint="eastAsia"/>
                      <w:color w:val="auto"/>
                      <w:sz w:val="18"/>
                      <w:szCs w:val="18"/>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638" w:type="pct"/>
                  <w:shd w:val="clear" w:color="auto" w:fill="FFFFFF"/>
                  <w:noWrap w:val="0"/>
                  <w:vAlign w:val="center"/>
                </w:tcPr>
                <w:p>
                  <w:pPr>
                    <w:adjustRightInd w:val="0"/>
                    <w:snapToGrid w:val="0"/>
                    <w:jc w:val="center"/>
                    <w:rPr>
                      <w:color w:val="auto"/>
                      <w:sz w:val="18"/>
                      <w:szCs w:val="18"/>
                      <w:highlight w:val="none"/>
                    </w:rPr>
                  </w:pPr>
                  <w:r>
                    <w:rPr>
                      <w:rFonts w:hint="eastAsia"/>
                      <w:color w:val="auto"/>
                      <w:sz w:val="18"/>
                      <w:szCs w:val="18"/>
                      <w:highlight w:val="none"/>
                    </w:rPr>
                    <w:t>南</w:t>
                  </w:r>
                  <w:r>
                    <w:rPr>
                      <w:color w:val="auto"/>
                      <w:sz w:val="18"/>
                      <w:szCs w:val="18"/>
                      <w:highlight w:val="none"/>
                    </w:rPr>
                    <w:t>厂界</w:t>
                  </w:r>
                </w:p>
              </w:tc>
              <w:tc>
                <w:tcPr>
                  <w:tcW w:w="643" w:type="pct"/>
                  <w:shd w:val="clear" w:color="auto" w:fill="FFFFFF"/>
                  <w:noWrap w:val="0"/>
                  <w:vAlign w:val="center"/>
                </w:tcPr>
                <w:p>
                  <w:pPr>
                    <w:jc w:val="center"/>
                    <w:rPr>
                      <w:color w:val="auto"/>
                      <w:sz w:val="18"/>
                      <w:szCs w:val="18"/>
                      <w:highlight w:val="none"/>
                    </w:rPr>
                  </w:pPr>
                  <w:r>
                    <w:rPr>
                      <w:color w:val="auto"/>
                      <w:sz w:val="18"/>
                      <w:szCs w:val="18"/>
                      <w:highlight w:val="none"/>
                    </w:rPr>
                    <w:t>昼间</w:t>
                  </w:r>
                </w:p>
              </w:tc>
              <w:tc>
                <w:tcPr>
                  <w:tcW w:w="432" w:type="pct"/>
                  <w:shd w:val="clear" w:color="auto" w:fill="FFFFFF"/>
                  <w:noWrap w:val="0"/>
                  <w:vAlign w:val="center"/>
                </w:tcPr>
                <w:p>
                  <w:pPr>
                    <w:adjustRightInd w:val="0"/>
                    <w:snapToGrid w:val="0"/>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60</w:t>
                  </w:r>
                </w:p>
              </w:tc>
              <w:tc>
                <w:tcPr>
                  <w:tcW w:w="445" w:type="pct"/>
                  <w:shd w:val="clear" w:color="auto" w:fill="FFFFFF"/>
                  <w:noWrap w:val="0"/>
                  <w:vAlign w:val="center"/>
                </w:tcPr>
                <w:p>
                  <w:pPr>
                    <w:adjustRightInd w:val="0"/>
                    <w:snapToGrid w:val="0"/>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51.5</w:t>
                  </w:r>
                </w:p>
              </w:tc>
              <w:tc>
                <w:tcPr>
                  <w:tcW w:w="495" w:type="pct"/>
                  <w:shd w:val="clear" w:color="auto" w:fill="FFFFFF"/>
                  <w:noWrap w:val="0"/>
                  <w:vAlign w:val="center"/>
                </w:tcPr>
                <w:p>
                  <w:pPr>
                    <w:adjustRightInd w:val="0"/>
                    <w:snapToGrid w:val="0"/>
                    <w:jc w:val="center"/>
                    <w:rPr>
                      <w:rFonts w:hint="eastAsia" w:eastAsia="宋体"/>
                      <w:color w:val="auto"/>
                      <w:kern w:val="2"/>
                      <w:sz w:val="18"/>
                      <w:szCs w:val="18"/>
                      <w:highlight w:val="none"/>
                      <w:lang w:val="en-US" w:eastAsia="zh-CN" w:bidi="ar-SA"/>
                    </w:rPr>
                  </w:pPr>
                  <w:r>
                    <w:rPr>
                      <w:rFonts w:hint="eastAsia" w:eastAsia="宋体"/>
                      <w:color w:val="auto"/>
                      <w:sz w:val="18"/>
                      <w:szCs w:val="18"/>
                      <w:highlight w:val="none"/>
                      <w:lang w:val="en-US" w:eastAsia="zh-CN"/>
                    </w:rPr>
                    <w:t>/</w:t>
                  </w:r>
                </w:p>
              </w:tc>
              <w:tc>
                <w:tcPr>
                  <w:tcW w:w="593" w:type="pct"/>
                  <w:shd w:val="clear" w:color="auto" w:fill="FFFFFF"/>
                  <w:noWrap w:val="0"/>
                  <w:vAlign w:val="center"/>
                </w:tcPr>
                <w:p>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43.4</w:t>
                  </w:r>
                </w:p>
              </w:tc>
              <w:tc>
                <w:tcPr>
                  <w:tcW w:w="543" w:type="pct"/>
                  <w:shd w:val="clear" w:color="auto" w:fill="FFFFFF"/>
                  <w:noWrap w:val="0"/>
                  <w:vAlign w:val="center"/>
                </w:tcPr>
                <w:p>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w:t>
                  </w:r>
                </w:p>
              </w:tc>
              <w:tc>
                <w:tcPr>
                  <w:tcW w:w="606" w:type="pct"/>
                  <w:shd w:val="clear" w:color="auto" w:fill="FFFFFF"/>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w:t>
                  </w:r>
                </w:p>
              </w:tc>
              <w:tc>
                <w:tcPr>
                  <w:tcW w:w="601" w:type="pct"/>
                  <w:shd w:val="clear" w:color="auto" w:fill="FFFFFF"/>
                  <w:noWrap w:val="0"/>
                  <w:vAlign w:val="center"/>
                </w:tcPr>
                <w:p>
                  <w:pPr>
                    <w:jc w:val="center"/>
                    <w:rPr>
                      <w:rFonts w:hint="eastAsia"/>
                      <w:color w:val="auto"/>
                      <w:kern w:val="2"/>
                      <w:sz w:val="18"/>
                      <w:szCs w:val="18"/>
                      <w:highlight w:val="none"/>
                      <w:lang w:val="en-US" w:eastAsia="zh-CN" w:bidi="ar-SA"/>
                    </w:rPr>
                  </w:pPr>
                  <w:r>
                    <w:rPr>
                      <w:rFonts w:hint="eastAsia"/>
                      <w:color w:val="auto"/>
                      <w:sz w:val="18"/>
                      <w:szCs w:val="18"/>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638" w:type="pct"/>
                  <w:shd w:val="clear" w:color="auto" w:fill="FFFFFF"/>
                  <w:noWrap w:val="0"/>
                  <w:vAlign w:val="center"/>
                </w:tcPr>
                <w:p>
                  <w:pPr>
                    <w:adjustRightInd w:val="0"/>
                    <w:snapToGrid w:val="0"/>
                    <w:jc w:val="center"/>
                    <w:rPr>
                      <w:color w:val="auto"/>
                      <w:sz w:val="18"/>
                      <w:szCs w:val="18"/>
                      <w:highlight w:val="none"/>
                    </w:rPr>
                  </w:pPr>
                  <w:r>
                    <w:rPr>
                      <w:rFonts w:hint="eastAsia"/>
                      <w:color w:val="auto"/>
                      <w:sz w:val="18"/>
                      <w:szCs w:val="18"/>
                      <w:highlight w:val="none"/>
                    </w:rPr>
                    <w:t>西</w:t>
                  </w:r>
                  <w:r>
                    <w:rPr>
                      <w:color w:val="auto"/>
                      <w:sz w:val="18"/>
                      <w:szCs w:val="18"/>
                      <w:highlight w:val="none"/>
                    </w:rPr>
                    <w:t>厂界</w:t>
                  </w:r>
                </w:p>
              </w:tc>
              <w:tc>
                <w:tcPr>
                  <w:tcW w:w="643" w:type="pct"/>
                  <w:shd w:val="clear" w:color="auto" w:fill="FFFFFF"/>
                  <w:noWrap w:val="0"/>
                  <w:vAlign w:val="center"/>
                </w:tcPr>
                <w:p>
                  <w:pPr>
                    <w:jc w:val="center"/>
                    <w:rPr>
                      <w:color w:val="auto"/>
                      <w:sz w:val="18"/>
                      <w:szCs w:val="18"/>
                      <w:highlight w:val="none"/>
                    </w:rPr>
                  </w:pPr>
                  <w:r>
                    <w:rPr>
                      <w:color w:val="auto"/>
                      <w:sz w:val="18"/>
                      <w:szCs w:val="18"/>
                      <w:highlight w:val="none"/>
                    </w:rPr>
                    <w:t>昼间</w:t>
                  </w:r>
                </w:p>
              </w:tc>
              <w:tc>
                <w:tcPr>
                  <w:tcW w:w="432" w:type="pct"/>
                  <w:shd w:val="clear" w:color="auto" w:fill="FFFFFF"/>
                  <w:noWrap w:val="0"/>
                  <w:vAlign w:val="center"/>
                </w:tcPr>
                <w:p>
                  <w:pPr>
                    <w:adjustRightInd w:val="0"/>
                    <w:snapToGrid w:val="0"/>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60</w:t>
                  </w:r>
                </w:p>
              </w:tc>
              <w:tc>
                <w:tcPr>
                  <w:tcW w:w="445" w:type="pct"/>
                  <w:shd w:val="clear" w:color="auto" w:fill="FFFFFF"/>
                  <w:noWrap w:val="0"/>
                  <w:vAlign w:val="center"/>
                </w:tcPr>
                <w:p>
                  <w:pPr>
                    <w:adjustRightInd w:val="0"/>
                    <w:snapToGrid w:val="0"/>
                    <w:jc w:val="center"/>
                    <w:rPr>
                      <w:rFonts w:hint="default"/>
                      <w:color w:val="auto"/>
                      <w:sz w:val="18"/>
                      <w:szCs w:val="18"/>
                      <w:highlight w:val="none"/>
                      <w:lang w:val="en-US" w:eastAsia="zh-CN"/>
                    </w:rPr>
                  </w:pPr>
                  <w:r>
                    <w:rPr>
                      <w:rFonts w:hint="eastAsia" w:eastAsia="宋体"/>
                      <w:color w:val="auto"/>
                      <w:sz w:val="18"/>
                      <w:szCs w:val="18"/>
                      <w:highlight w:val="none"/>
                      <w:lang w:val="en-US" w:eastAsia="zh-CN"/>
                    </w:rPr>
                    <w:t>51</w:t>
                  </w:r>
                </w:p>
              </w:tc>
              <w:tc>
                <w:tcPr>
                  <w:tcW w:w="495" w:type="pct"/>
                  <w:shd w:val="clear" w:color="auto" w:fill="FFFFFF"/>
                  <w:noWrap w:val="0"/>
                  <w:vAlign w:val="center"/>
                </w:tcPr>
                <w:p>
                  <w:pPr>
                    <w:adjustRightInd w:val="0"/>
                    <w:snapToGrid w:val="0"/>
                    <w:jc w:val="center"/>
                    <w:rPr>
                      <w:rFonts w:hint="eastAsia"/>
                      <w:color w:val="auto"/>
                      <w:kern w:val="2"/>
                      <w:sz w:val="18"/>
                      <w:szCs w:val="18"/>
                      <w:highlight w:val="none"/>
                      <w:lang w:val="en-US" w:eastAsia="zh-CN" w:bidi="ar-SA"/>
                    </w:rPr>
                  </w:pPr>
                  <w:r>
                    <w:rPr>
                      <w:rFonts w:hint="eastAsia" w:eastAsia="宋体"/>
                      <w:color w:val="auto"/>
                      <w:sz w:val="18"/>
                      <w:szCs w:val="18"/>
                      <w:highlight w:val="none"/>
                      <w:lang w:val="en-US" w:eastAsia="zh-CN"/>
                    </w:rPr>
                    <w:t>/</w:t>
                  </w:r>
                </w:p>
              </w:tc>
              <w:tc>
                <w:tcPr>
                  <w:tcW w:w="593" w:type="pct"/>
                  <w:shd w:val="clear" w:color="auto" w:fill="FFFFFF"/>
                  <w:noWrap w:val="0"/>
                  <w:vAlign w:val="center"/>
                </w:tcPr>
                <w:p>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28.9</w:t>
                  </w:r>
                </w:p>
              </w:tc>
              <w:tc>
                <w:tcPr>
                  <w:tcW w:w="543" w:type="pct"/>
                  <w:shd w:val="clear" w:color="auto" w:fill="FFFFFF"/>
                  <w:noWrap w:val="0"/>
                  <w:vAlign w:val="center"/>
                </w:tcPr>
                <w:p>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w:t>
                  </w:r>
                </w:p>
              </w:tc>
              <w:tc>
                <w:tcPr>
                  <w:tcW w:w="606" w:type="pct"/>
                  <w:shd w:val="clear" w:color="auto" w:fill="FFFFFF"/>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w:t>
                  </w:r>
                </w:p>
              </w:tc>
              <w:tc>
                <w:tcPr>
                  <w:tcW w:w="601" w:type="pct"/>
                  <w:shd w:val="clear" w:color="auto" w:fill="FFFFFF"/>
                  <w:noWrap w:val="0"/>
                  <w:vAlign w:val="center"/>
                </w:tcPr>
                <w:p>
                  <w:pPr>
                    <w:jc w:val="center"/>
                    <w:rPr>
                      <w:rFonts w:hint="eastAsia"/>
                      <w:color w:val="auto"/>
                      <w:kern w:val="2"/>
                      <w:sz w:val="18"/>
                      <w:szCs w:val="18"/>
                      <w:highlight w:val="none"/>
                      <w:lang w:val="en-US" w:eastAsia="zh-CN" w:bidi="ar-SA"/>
                    </w:rPr>
                  </w:pPr>
                  <w:r>
                    <w:rPr>
                      <w:rFonts w:hint="eastAsia"/>
                      <w:color w:val="auto"/>
                      <w:sz w:val="18"/>
                      <w:szCs w:val="18"/>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638" w:type="pct"/>
                  <w:shd w:val="clear" w:color="auto" w:fill="FFFFFF"/>
                  <w:noWrap w:val="0"/>
                  <w:vAlign w:val="center"/>
                </w:tcPr>
                <w:p>
                  <w:pPr>
                    <w:adjustRightInd w:val="0"/>
                    <w:snapToGrid w:val="0"/>
                    <w:jc w:val="center"/>
                    <w:rPr>
                      <w:color w:val="auto"/>
                      <w:sz w:val="18"/>
                      <w:szCs w:val="18"/>
                      <w:highlight w:val="none"/>
                    </w:rPr>
                  </w:pPr>
                  <w:r>
                    <w:rPr>
                      <w:rFonts w:hint="eastAsia"/>
                      <w:color w:val="auto"/>
                      <w:sz w:val="18"/>
                      <w:szCs w:val="18"/>
                      <w:highlight w:val="none"/>
                    </w:rPr>
                    <w:t>北</w:t>
                  </w:r>
                  <w:r>
                    <w:rPr>
                      <w:color w:val="auto"/>
                      <w:sz w:val="18"/>
                      <w:szCs w:val="18"/>
                      <w:highlight w:val="none"/>
                    </w:rPr>
                    <w:t>厂界</w:t>
                  </w:r>
                </w:p>
              </w:tc>
              <w:tc>
                <w:tcPr>
                  <w:tcW w:w="643" w:type="pct"/>
                  <w:shd w:val="clear" w:color="auto" w:fill="FFFFFF"/>
                  <w:noWrap w:val="0"/>
                  <w:vAlign w:val="center"/>
                </w:tcPr>
                <w:p>
                  <w:pPr>
                    <w:jc w:val="center"/>
                    <w:rPr>
                      <w:color w:val="auto"/>
                      <w:sz w:val="18"/>
                      <w:szCs w:val="18"/>
                      <w:highlight w:val="none"/>
                    </w:rPr>
                  </w:pPr>
                  <w:r>
                    <w:rPr>
                      <w:color w:val="auto"/>
                      <w:sz w:val="18"/>
                      <w:szCs w:val="18"/>
                      <w:highlight w:val="none"/>
                    </w:rPr>
                    <w:t>昼间</w:t>
                  </w:r>
                </w:p>
              </w:tc>
              <w:tc>
                <w:tcPr>
                  <w:tcW w:w="432" w:type="pct"/>
                  <w:shd w:val="clear" w:color="auto" w:fill="FFFFFF"/>
                  <w:noWrap w:val="0"/>
                  <w:vAlign w:val="center"/>
                </w:tcPr>
                <w:p>
                  <w:pPr>
                    <w:adjustRightInd w:val="0"/>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70</w:t>
                  </w:r>
                </w:p>
              </w:tc>
              <w:tc>
                <w:tcPr>
                  <w:tcW w:w="445" w:type="pct"/>
                  <w:shd w:val="clear" w:color="auto" w:fill="FFFFFF"/>
                  <w:noWrap w:val="0"/>
                  <w:vAlign w:val="center"/>
                </w:tcPr>
                <w:p>
                  <w:pPr>
                    <w:adjustRightInd w:val="0"/>
                    <w:snapToGrid w:val="0"/>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52.3</w:t>
                  </w:r>
                </w:p>
              </w:tc>
              <w:tc>
                <w:tcPr>
                  <w:tcW w:w="495" w:type="pct"/>
                  <w:shd w:val="clear" w:color="auto" w:fill="FFFFFF"/>
                  <w:noWrap w:val="0"/>
                  <w:vAlign w:val="center"/>
                </w:tcPr>
                <w:p>
                  <w:pPr>
                    <w:adjustRightInd w:val="0"/>
                    <w:snapToGrid w:val="0"/>
                    <w:jc w:val="center"/>
                    <w:rPr>
                      <w:rFonts w:hint="eastAsia" w:eastAsia="宋体"/>
                      <w:color w:val="auto"/>
                      <w:kern w:val="2"/>
                      <w:sz w:val="18"/>
                      <w:szCs w:val="18"/>
                      <w:highlight w:val="none"/>
                      <w:lang w:val="en-US" w:eastAsia="zh-CN" w:bidi="ar-SA"/>
                    </w:rPr>
                  </w:pPr>
                  <w:r>
                    <w:rPr>
                      <w:rFonts w:hint="eastAsia" w:eastAsia="宋体"/>
                      <w:color w:val="auto"/>
                      <w:sz w:val="18"/>
                      <w:szCs w:val="18"/>
                      <w:highlight w:val="none"/>
                      <w:lang w:val="en-US" w:eastAsia="zh-CN"/>
                    </w:rPr>
                    <w:t>/</w:t>
                  </w:r>
                </w:p>
              </w:tc>
              <w:tc>
                <w:tcPr>
                  <w:tcW w:w="593" w:type="pct"/>
                  <w:shd w:val="clear" w:color="auto" w:fill="FFFFFF"/>
                  <w:noWrap w:val="0"/>
                  <w:vAlign w:val="center"/>
                </w:tcPr>
                <w:p>
                  <w:pPr>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48.1</w:t>
                  </w:r>
                </w:p>
              </w:tc>
              <w:tc>
                <w:tcPr>
                  <w:tcW w:w="543" w:type="pct"/>
                  <w:shd w:val="clear" w:color="auto" w:fill="FFFFFF"/>
                  <w:noWrap w:val="0"/>
                  <w:vAlign w:val="center"/>
                </w:tcPr>
                <w:p>
                  <w:pPr>
                    <w:jc w:val="center"/>
                    <w:rPr>
                      <w:color w:val="auto"/>
                      <w:sz w:val="18"/>
                      <w:szCs w:val="18"/>
                      <w:highlight w:val="none"/>
                    </w:rPr>
                  </w:pPr>
                  <w:r>
                    <w:rPr>
                      <w:rFonts w:hint="eastAsia" w:eastAsia="宋体"/>
                      <w:color w:val="auto"/>
                      <w:sz w:val="18"/>
                      <w:szCs w:val="18"/>
                      <w:highlight w:val="none"/>
                      <w:lang w:val="en-US" w:eastAsia="zh-CN"/>
                    </w:rPr>
                    <w:t>/</w:t>
                  </w:r>
                </w:p>
              </w:tc>
              <w:tc>
                <w:tcPr>
                  <w:tcW w:w="606" w:type="pct"/>
                  <w:shd w:val="clear" w:color="auto" w:fill="FFFFFF"/>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w:t>
                  </w:r>
                </w:p>
              </w:tc>
              <w:tc>
                <w:tcPr>
                  <w:tcW w:w="601" w:type="pct"/>
                  <w:shd w:val="clear" w:color="auto" w:fill="FFFFFF"/>
                  <w:noWrap w:val="0"/>
                  <w:vAlign w:val="center"/>
                </w:tcPr>
                <w:p>
                  <w:pPr>
                    <w:jc w:val="center"/>
                    <w:rPr>
                      <w:rFonts w:hint="eastAsia"/>
                      <w:color w:val="auto"/>
                      <w:kern w:val="2"/>
                      <w:sz w:val="18"/>
                      <w:szCs w:val="18"/>
                      <w:highlight w:val="none"/>
                      <w:lang w:val="en-US" w:eastAsia="zh-CN" w:bidi="ar-SA"/>
                    </w:rPr>
                  </w:pPr>
                  <w:r>
                    <w:rPr>
                      <w:rFonts w:hint="eastAsia"/>
                      <w:color w:val="auto"/>
                      <w:sz w:val="18"/>
                      <w:szCs w:val="18"/>
                      <w:highlight w:val="none"/>
                    </w:rPr>
                    <w:t>达标</w:t>
                  </w:r>
                </w:p>
              </w:tc>
            </w:tr>
          </w:tbl>
          <w:p>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eastAsia="宋体"/>
                <w:bCs/>
                <w:szCs w:val="21"/>
                <w:lang w:eastAsia="zh-CN"/>
              </w:rPr>
            </w:pPr>
            <w:r>
              <w:rPr>
                <w:bCs/>
                <w:szCs w:val="21"/>
              </w:rPr>
              <w:t>预测结果表明，本项目运营后，各种噪声通过减振和距离衰减后，</w:t>
            </w:r>
            <w:r>
              <w:rPr>
                <w:rFonts w:hint="eastAsia"/>
                <w:bCs/>
                <w:szCs w:val="21"/>
                <w:lang w:val="en-US" w:eastAsia="zh-CN"/>
              </w:rPr>
              <w:t>东、南、西</w:t>
            </w:r>
            <w:r>
              <w:rPr>
                <w:bCs/>
                <w:szCs w:val="21"/>
              </w:rPr>
              <w:t>厂界噪声贡献值能够达到《工业企业厂界环境噪声排放标准》（GB12348-2008）</w:t>
            </w:r>
            <w:r>
              <w:rPr>
                <w:rFonts w:hint="eastAsia"/>
                <w:bCs/>
                <w:szCs w:val="21"/>
                <w:lang w:val="en-US" w:eastAsia="zh-CN"/>
              </w:rPr>
              <w:t>3</w:t>
            </w:r>
            <w:r>
              <w:rPr>
                <w:bCs/>
                <w:szCs w:val="21"/>
              </w:rPr>
              <w:t>类标准</w:t>
            </w:r>
            <w:r>
              <w:rPr>
                <w:rFonts w:hint="eastAsia"/>
                <w:bCs/>
                <w:szCs w:val="21"/>
              </w:rPr>
              <w:t>，</w:t>
            </w:r>
            <w:r>
              <w:rPr>
                <w:rFonts w:hint="eastAsia"/>
                <w:bCs/>
                <w:szCs w:val="21"/>
                <w:lang w:eastAsia="zh-CN"/>
              </w:rPr>
              <w:t>北厂界噪声贡献值能够达到《工业企业厂界环境噪声排放标准》（</w:t>
            </w:r>
            <w:r>
              <w:rPr>
                <w:rFonts w:hint="eastAsia"/>
                <w:bCs/>
                <w:szCs w:val="21"/>
                <w:lang w:val="en-US" w:eastAsia="zh-CN"/>
              </w:rPr>
              <w:t>GB12348-2008</w:t>
            </w:r>
            <w:r>
              <w:rPr>
                <w:rFonts w:hint="eastAsia"/>
                <w:bCs/>
                <w:szCs w:val="21"/>
                <w:lang w:eastAsia="zh-CN"/>
              </w:rPr>
              <w:t>）</w:t>
            </w:r>
            <w:r>
              <w:rPr>
                <w:rFonts w:hint="eastAsia"/>
                <w:bCs/>
                <w:szCs w:val="21"/>
                <w:lang w:val="en-US" w:eastAsia="zh-CN"/>
              </w:rPr>
              <w:t>4类标准，</w:t>
            </w:r>
            <w:r>
              <w:rPr>
                <w:bCs/>
                <w:szCs w:val="21"/>
              </w:rPr>
              <w:t>不会对周围环境产生明显影响。</w:t>
            </w:r>
            <w:r>
              <w:rPr>
                <w:rFonts w:hint="eastAsia"/>
                <w:bCs/>
                <w:szCs w:val="21"/>
                <w:lang w:eastAsia="zh-CN"/>
              </w:rPr>
              <w:t>项目夜间不生产。</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b/>
                <w:kern w:val="0"/>
                <w:szCs w:val="21"/>
              </w:rPr>
            </w:pPr>
            <w:r>
              <w:rPr>
                <w:szCs w:val="21"/>
              </w:rPr>
              <w:t>综上所述，项目采取合理布局、厂房隔声、距离衰减等降噪措施后，厂界噪声可确保达标，建设单位采用的工业布局和噪声污染防治措施可行，对周围环境影响较小。</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jc w:val="left"/>
              <w:textAlignment w:val="auto"/>
              <w:rPr>
                <w:b/>
                <w:bCs/>
                <w:szCs w:val="21"/>
              </w:rPr>
            </w:pPr>
            <w:r>
              <w:rPr>
                <w:rFonts w:hint="eastAsia"/>
                <w:b/>
                <w:bCs/>
                <w:szCs w:val="21"/>
              </w:rPr>
              <w:t>4</w:t>
            </w:r>
            <w:r>
              <w:rPr>
                <w:b/>
                <w:bCs/>
                <w:szCs w:val="21"/>
              </w:rPr>
              <w:t>、监测计划</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szCs w:val="21"/>
              </w:rPr>
            </w:pPr>
            <w:r>
              <w:rPr>
                <w:szCs w:val="21"/>
              </w:rPr>
              <w:t>根据《排污单位自行监测技术指南 总则》（HJ819-2017）中对监测指标要求，本项目拟定的监测内容见</w:t>
            </w:r>
            <w:r>
              <w:rPr>
                <w:rFonts w:hint="eastAsia"/>
                <w:szCs w:val="21"/>
              </w:rPr>
              <w:t>下表</w:t>
            </w:r>
            <w:r>
              <w:rPr>
                <w:szCs w:val="21"/>
              </w:rPr>
              <w:t>。</w:t>
            </w:r>
          </w:p>
          <w:p>
            <w:pPr>
              <w:jc w:val="center"/>
              <w:rPr>
                <w:b/>
              </w:rPr>
            </w:pPr>
            <w:r>
              <w:rPr>
                <w:b/>
              </w:rPr>
              <w:t>表4-</w:t>
            </w:r>
            <w:r>
              <w:rPr>
                <w:rFonts w:hint="eastAsia"/>
                <w:b/>
              </w:rPr>
              <w:t>1</w:t>
            </w:r>
            <w:r>
              <w:rPr>
                <w:rFonts w:hint="eastAsia"/>
                <w:b/>
                <w:lang w:val="en-US" w:eastAsia="zh-CN"/>
              </w:rPr>
              <w:t xml:space="preserve">4 </w:t>
            </w:r>
            <w:r>
              <w:rPr>
                <w:b/>
              </w:rPr>
              <w:t>噪声污染排放监测计划表</w:t>
            </w:r>
          </w:p>
          <w:tbl>
            <w:tblPr>
              <w:tblStyle w:val="1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1384"/>
              <w:gridCol w:w="1693"/>
              <w:gridCol w:w="1583"/>
              <w:gridCol w:w="184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01" w:type="pct"/>
                  <w:noWrap w:val="0"/>
                  <w:vAlign w:val="center"/>
                </w:tcPr>
                <w:p>
                  <w:pPr>
                    <w:jc w:val="center"/>
                    <w:rPr>
                      <w:b/>
                      <w:sz w:val="18"/>
                      <w:szCs w:val="18"/>
                    </w:rPr>
                  </w:pPr>
                  <w:r>
                    <w:rPr>
                      <w:b/>
                      <w:sz w:val="18"/>
                      <w:szCs w:val="18"/>
                    </w:rPr>
                    <w:t>污染源名称</w:t>
                  </w:r>
                </w:p>
              </w:tc>
              <w:tc>
                <w:tcPr>
                  <w:tcW w:w="914" w:type="pct"/>
                  <w:noWrap w:val="0"/>
                  <w:vAlign w:val="center"/>
                </w:tcPr>
                <w:p>
                  <w:pPr>
                    <w:jc w:val="center"/>
                    <w:rPr>
                      <w:b/>
                      <w:sz w:val="18"/>
                      <w:szCs w:val="18"/>
                    </w:rPr>
                  </w:pPr>
                  <w:r>
                    <w:rPr>
                      <w:b/>
                      <w:sz w:val="18"/>
                      <w:szCs w:val="18"/>
                    </w:rPr>
                    <w:t>监测点位</w:t>
                  </w:r>
                </w:p>
              </w:tc>
              <w:tc>
                <w:tcPr>
                  <w:tcW w:w="1118" w:type="pct"/>
                  <w:noWrap w:val="0"/>
                  <w:vAlign w:val="center"/>
                </w:tcPr>
                <w:p>
                  <w:pPr>
                    <w:jc w:val="center"/>
                    <w:rPr>
                      <w:b/>
                      <w:sz w:val="18"/>
                      <w:szCs w:val="18"/>
                    </w:rPr>
                  </w:pPr>
                  <w:r>
                    <w:rPr>
                      <w:b/>
                      <w:sz w:val="18"/>
                      <w:szCs w:val="18"/>
                    </w:rPr>
                    <w:t>监测指标</w:t>
                  </w:r>
                </w:p>
              </w:tc>
              <w:tc>
                <w:tcPr>
                  <w:tcW w:w="1045" w:type="pct"/>
                  <w:noWrap w:val="0"/>
                  <w:vAlign w:val="center"/>
                </w:tcPr>
                <w:p>
                  <w:pPr>
                    <w:jc w:val="center"/>
                    <w:rPr>
                      <w:b/>
                      <w:sz w:val="18"/>
                      <w:szCs w:val="18"/>
                    </w:rPr>
                  </w:pPr>
                  <w:r>
                    <w:rPr>
                      <w:b/>
                      <w:sz w:val="18"/>
                      <w:szCs w:val="18"/>
                    </w:rPr>
                    <w:t>监测频次</w:t>
                  </w:r>
                </w:p>
              </w:tc>
              <w:tc>
                <w:tcPr>
                  <w:tcW w:w="1219" w:type="pct"/>
                  <w:noWrap w:val="0"/>
                  <w:vAlign w:val="center"/>
                </w:tcPr>
                <w:p>
                  <w:pPr>
                    <w:jc w:val="center"/>
                    <w:rPr>
                      <w:b/>
                      <w:sz w:val="18"/>
                      <w:szCs w:val="18"/>
                    </w:rPr>
                  </w:pPr>
                  <w:r>
                    <w:rPr>
                      <w:b/>
                      <w:sz w:val="18"/>
                      <w:szCs w:val="18"/>
                    </w:rPr>
                    <w:t>监测采样和分析方法</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701" w:type="pct"/>
                  <w:noWrap w:val="0"/>
                  <w:vAlign w:val="center"/>
                </w:tcPr>
                <w:p>
                  <w:pPr>
                    <w:jc w:val="center"/>
                    <w:rPr>
                      <w:sz w:val="18"/>
                      <w:szCs w:val="18"/>
                    </w:rPr>
                  </w:pPr>
                  <w:r>
                    <w:rPr>
                      <w:sz w:val="18"/>
                      <w:szCs w:val="18"/>
                    </w:rPr>
                    <w:t>噪声</w:t>
                  </w:r>
                </w:p>
              </w:tc>
              <w:tc>
                <w:tcPr>
                  <w:tcW w:w="914" w:type="pct"/>
                  <w:noWrap w:val="0"/>
                  <w:vAlign w:val="center"/>
                </w:tcPr>
                <w:p>
                  <w:pPr>
                    <w:jc w:val="center"/>
                    <w:rPr>
                      <w:rFonts w:hint="default" w:eastAsia="宋体"/>
                      <w:sz w:val="18"/>
                      <w:szCs w:val="18"/>
                      <w:lang w:val="en-US" w:eastAsia="zh-CN"/>
                    </w:rPr>
                  </w:pPr>
                  <w:r>
                    <w:rPr>
                      <w:sz w:val="18"/>
                      <w:szCs w:val="18"/>
                    </w:rPr>
                    <w:t>厂界外1米</w:t>
                  </w:r>
                </w:p>
              </w:tc>
              <w:tc>
                <w:tcPr>
                  <w:tcW w:w="1118" w:type="pct"/>
                  <w:noWrap w:val="0"/>
                  <w:vAlign w:val="center"/>
                </w:tcPr>
                <w:p>
                  <w:pPr>
                    <w:jc w:val="center"/>
                    <w:rPr>
                      <w:sz w:val="18"/>
                      <w:szCs w:val="18"/>
                    </w:rPr>
                  </w:pPr>
                  <w:r>
                    <w:rPr>
                      <w:sz w:val="18"/>
                      <w:szCs w:val="18"/>
                    </w:rPr>
                    <w:t>昼间等效声级</w:t>
                  </w:r>
                </w:p>
              </w:tc>
              <w:tc>
                <w:tcPr>
                  <w:tcW w:w="1045" w:type="pct"/>
                  <w:noWrap w:val="0"/>
                  <w:vAlign w:val="center"/>
                </w:tcPr>
                <w:p>
                  <w:pPr>
                    <w:jc w:val="center"/>
                    <w:rPr>
                      <w:sz w:val="18"/>
                      <w:szCs w:val="18"/>
                    </w:rPr>
                  </w:pPr>
                  <w:r>
                    <w:rPr>
                      <w:sz w:val="18"/>
                      <w:szCs w:val="18"/>
                    </w:rPr>
                    <w:t>1次/季度</w:t>
                  </w:r>
                </w:p>
              </w:tc>
              <w:tc>
                <w:tcPr>
                  <w:tcW w:w="1219" w:type="pct"/>
                  <w:noWrap w:val="0"/>
                  <w:vAlign w:val="center"/>
                </w:tcPr>
                <w:p>
                  <w:pPr>
                    <w:jc w:val="center"/>
                    <w:rPr>
                      <w:sz w:val="18"/>
                      <w:szCs w:val="18"/>
                    </w:rPr>
                  </w:pPr>
                  <w:r>
                    <w:rPr>
                      <w:sz w:val="18"/>
                      <w:szCs w:val="18"/>
                    </w:rPr>
                    <w:t>《环境检测技术规范》</w:t>
                  </w:r>
                </w:p>
              </w:tc>
            </w:tr>
          </w:tbl>
          <w:p>
            <w:pPr>
              <w:adjustRightInd w:val="0"/>
              <w:snapToGrid w:val="0"/>
              <w:spacing w:line="460" w:lineRule="exact"/>
              <w:ind w:firstLine="422" w:firstLineChars="200"/>
              <w:rPr>
                <w:rFonts w:hint="eastAsia"/>
                <w:b/>
                <w:bCs/>
                <w:szCs w:val="21"/>
              </w:rPr>
            </w:pPr>
            <w:r>
              <w:rPr>
                <w:rFonts w:hint="eastAsia"/>
                <w:b/>
                <w:bCs/>
                <w:szCs w:val="21"/>
              </w:rPr>
              <w:t>声环境影响评价结论：</w:t>
            </w:r>
          </w:p>
          <w:p>
            <w:pPr>
              <w:adjustRightInd w:val="0"/>
              <w:snapToGrid w:val="0"/>
              <w:spacing w:line="460" w:lineRule="exact"/>
              <w:ind w:firstLine="420" w:firstLineChars="200"/>
              <w:rPr>
                <w:rFonts w:hint="eastAsia"/>
                <w:bCs/>
                <w:szCs w:val="21"/>
              </w:rPr>
            </w:pPr>
            <w:r>
              <w:rPr>
                <w:rFonts w:hint="eastAsia"/>
                <w:bCs/>
                <w:szCs w:val="21"/>
              </w:rPr>
              <w:t>综上所述，在采取了降噪措施后，项目运行噪声对环境影响轻微，不会改变附近区域声环境质量。</w:t>
            </w:r>
          </w:p>
          <w:p>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default" w:ascii="Times New Roman" w:hAnsi="Times New Roman" w:eastAsia="宋体" w:cs="Times New Roman"/>
                <w:b/>
                <w:bCs/>
                <w:vertAlign w:val="baseline"/>
              </w:rPr>
            </w:pPr>
            <w:r>
              <w:rPr>
                <w:rFonts w:hint="eastAsia" w:ascii="Times New Roman" w:hAnsi="Times New Roman" w:eastAsia="宋体" w:cs="Times New Roman"/>
                <w:b/>
                <w:bCs/>
                <w:vertAlign w:val="baseline"/>
                <w:lang w:val="en-US" w:eastAsia="zh-CN"/>
              </w:rPr>
              <w:t>四</w:t>
            </w:r>
            <w:r>
              <w:rPr>
                <w:rFonts w:hint="default" w:ascii="Times New Roman" w:hAnsi="Times New Roman" w:eastAsia="宋体" w:cs="Times New Roman"/>
                <w:b/>
                <w:bCs/>
                <w:vertAlign w:val="baseline"/>
              </w:rPr>
              <w:t>、固体废物</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r>
              <w:rPr>
                <w:rFonts w:hint="default" w:ascii="Times New Roman" w:hAnsi="Times New Roman" w:eastAsia="宋体" w:cs="Times New Roman"/>
                <w:vertAlign w:val="baseline"/>
              </w:rPr>
              <w:t>固废产生情</w:t>
            </w:r>
            <w:r>
              <w:rPr>
                <w:rFonts w:hint="eastAsia" w:ascii="Times New Roman" w:hAnsi="Times New Roman" w:eastAsia="宋体" w:cs="Times New Roman"/>
                <w:vertAlign w:val="baseline"/>
                <w:lang w:val="en-US" w:eastAsia="zh-CN"/>
              </w:rPr>
              <w:t>况</w:t>
            </w:r>
          </w:p>
          <w:p>
            <w:pPr>
              <w:adjustRightInd w:val="0"/>
              <w:snapToGrid w:val="0"/>
              <w:spacing w:line="500" w:lineRule="exact"/>
              <w:ind w:firstLine="420" w:firstLineChars="200"/>
              <w:rPr>
                <w:rFonts w:hint="eastAsia"/>
                <w:bCs/>
                <w:szCs w:val="21"/>
              </w:rPr>
            </w:pPr>
            <w:r>
              <w:rPr>
                <w:rFonts w:hint="eastAsia"/>
                <w:bCs/>
                <w:szCs w:val="21"/>
              </w:rPr>
              <w:t>项目产生的固体废物主要为</w:t>
            </w:r>
            <w:r>
              <w:rPr>
                <w:rFonts w:hint="eastAsia"/>
                <w:bCs/>
                <w:szCs w:val="21"/>
                <w:lang w:eastAsia="zh-CN"/>
              </w:rPr>
              <w:t>废纱、不合格品、污泥等</w:t>
            </w:r>
            <w:r>
              <w:rPr>
                <w:rFonts w:hint="eastAsia"/>
                <w:bCs/>
                <w:szCs w:val="21"/>
              </w:rPr>
              <w:t>。</w:t>
            </w:r>
          </w:p>
          <w:p>
            <w:pPr>
              <w:adjustRightInd w:val="0"/>
              <w:snapToGrid w:val="0"/>
              <w:spacing w:line="500" w:lineRule="exact"/>
              <w:ind w:firstLine="420" w:firstLineChars="200"/>
              <w:rPr>
                <w:rFonts w:hint="eastAsia"/>
                <w:bCs/>
                <w:szCs w:val="21"/>
              </w:rPr>
            </w:pPr>
            <w:r>
              <w:rPr>
                <w:rFonts w:hint="eastAsia"/>
                <w:bCs/>
                <w:szCs w:val="21"/>
              </w:rPr>
              <w:t>1）</w:t>
            </w:r>
            <w:r>
              <w:rPr>
                <w:rFonts w:hint="eastAsia"/>
                <w:bCs/>
                <w:szCs w:val="21"/>
                <w:lang w:eastAsia="zh-CN"/>
              </w:rPr>
              <w:t>废纱</w:t>
            </w:r>
            <w:r>
              <w:rPr>
                <w:rFonts w:hint="eastAsia"/>
                <w:bCs/>
                <w:szCs w:val="21"/>
              </w:rPr>
              <w:t>：</w:t>
            </w:r>
            <w:r>
              <w:rPr>
                <w:rFonts w:hint="eastAsia"/>
                <w:bCs/>
                <w:szCs w:val="21"/>
                <w:lang w:eastAsia="zh-CN"/>
              </w:rPr>
              <w:t>项目在倒毛、织片过程会产生废纱，产生量约</w:t>
            </w:r>
            <w:r>
              <w:rPr>
                <w:rFonts w:hint="eastAsia"/>
                <w:bCs/>
                <w:szCs w:val="21"/>
                <w:lang w:val="en-US" w:eastAsia="zh-CN"/>
              </w:rPr>
              <w:t>2t/a</w:t>
            </w:r>
            <w:r>
              <w:rPr>
                <w:rFonts w:hint="eastAsia"/>
                <w:bCs/>
                <w:szCs w:val="21"/>
              </w:rPr>
              <w:t>。</w:t>
            </w:r>
          </w:p>
          <w:p>
            <w:pPr>
              <w:adjustRightInd w:val="0"/>
              <w:snapToGrid w:val="0"/>
              <w:spacing w:line="500" w:lineRule="exact"/>
              <w:ind w:firstLine="420" w:firstLineChars="200"/>
              <w:rPr>
                <w:bCs/>
                <w:szCs w:val="21"/>
              </w:rPr>
            </w:pPr>
            <w:r>
              <w:rPr>
                <w:rFonts w:hint="eastAsia"/>
                <w:bCs/>
                <w:szCs w:val="21"/>
              </w:rPr>
              <w:t>2）不合格品：项目在检验过程会产生不合格品，产生量为</w:t>
            </w:r>
            <w:r>
              <w:rPr>
                <w:rFonts w:hint="eastAsia"/>
                <w:bCs/>
                <w:szCs w:val="21"/>
                <w:lang w:val="en-US" w:eastAsia="zh-CN"/>
              </w:rPr>
              <w:t>3</w:t>
            </w:r>
            <w:r>
              <w:rPr>
                <w:rFonts w:hint="eastAsia"/>
                <w:bCs/>
                <w:szCs w:val="21"/>
              </w:rPr>
              <w:t>t/a。</w:t>
            </w:r>
          </w:p>
          <w:p>
            <w:pPr>
              <w:adjustRightInd w:val="0"/>
              <w:snapToGrid w:val="0"/>
              <w:spacing w:line="500" w:lineRule="exact"/>
              <w:ind w:firstLine="420" w:firstLineChars="200"/>
              <w:rPr>
                <w:rFonts w:hint="eastAsia"/>
                <w:bCs/>
                <w:szCs w:val="21"/>
                <w:lang w:eastAsia="zh-CN"/>
              </w:rPr>
            </w:pPr>
            <w:r>
              <w:rPr>
                <w:rFonts w:hint="eastAsia"/>
                <w:bCs/>
                <w:szCs w:val="21"/>
              </w:rPr>
              <w:t>3）废包装桶：项目使用</w:t>
            </w:r>
            <w:r>
              <w:rPr>
                <w:rFonts w:hint="eastAsia"/>
                <w:bCs/>
                <w:szCs w:val="21"/>
                <w:lang w:eastAsia="zh-CN"/>
              </w:rPr>
              <w:t>洗涤剂、柔软平滑剂</w:t>
            </w:r>
            <w:r>
              <w:rPr>
                <w:rFonts w:hint="eastAsia"/>
                <w:bCs/>
                <w:szCs w:val="21"/>
              </w:rPr>
              <w:t>会产生废包装桶，年使用</w:t>
            </w:r>
            <w:r>
              <w:rPr>
                <w:rFonts w:hint="eastAsia"/>
                <w:bCs/>
                <w:szCs w:val="21"/>
                <w:lang w:val="en-US" w:eastAsia="zh-CN"/>
              </w:rPr>
              <w:t>1</w:t>
            </w:r>
            <w:r>
              <w:rPr>
                <w:rFonts w:hint="eastAsia"/>
                <w:bCs/>
                <w:szCs w:val="21"/>
              </w:rPr>
              <w:t>t</w:t>
            </w:r>
            <w:r>
              <w:rPr>
                <w:rFonts w:hint="eastAsia"/>
                <w:bCs/>
                <w:szCs w:val="21"/>
                <w:lang w:eastAsia="zh-CN"/>
              </w:rPr>
              <w:t>洗涤</w:t>
            </w:r>
            <w:r>
              <w:rPr>
                <w:rFonts w:hint="eastAsia"/>
                <w:bCs/>
                <w:szCs w:val="21"/>
              </w:rPr>
              <w:t>剂、</w:t>
            </w:r>
            <w:r>
              <w:rPr>
                <w:rFonts w:hint="eastAsia"/>
                <w:bCs/>
                <w:szCs w:val="21"/>
                <w:lang w:val="en-US" w:eastAsia="zh-CN"/>
              </w:rPr>
              <w:t>5t柔软蓬松剂</w:t>
            </w:r>
            <w:r>
              <w:rPr>
                <w:rFonts w:hint="eastAsia"/>
                <w:bCs/>
                <w:szCs w:val="21"/>
              </w:rPr>
              <w:t>，包装规格为25kg/桶，则年产生废包装桶</w:t>
            </w:r>
            <w:r>
              <w:rPr>
                <w:rFonts w:hint="eastAsia"/>
                <w:bCs/>
                <w:szCs w:val="21"/>
                <w:lang w:val="en-US" w:eastAsia="zh-CN"/>
              </w:rPr>
              <w:t>240</w:t>
            </w:r>
            <w:r>
              <w:rPr>
                <w:rFonts w:hint="eastAsia"/>
                <w:bCs/>
                <w:szCs w:val="21"/>
              </w:rPr>
              <w:t>个，单桶约重1kg。则年产生废包装桶约0.</w:t>
            </w:r>
            <w:r>
              <w:rPr>
                <w:rFonts w:hint="eastAsia"/>
                <w:bCs/>
                <w:szCs w:val="21"/>
                <w:lang w:val="en-US" w:eastAsia="zh-CN"/>
              </w:rPr>
              <w:t>24</w:t>
            </w:r>
            <w:r>
              <w:rPr>
                <w:rFonts w:hint="eastAsia"/>
                <w:bCs/>
                <w:szCs w:val="21"/>
              </w:rPr>
              <w:t>t/a，</w:t>
            </w:r>
            <w:r>
              <w:rPr>
                <w:rFonts w:hint="eastAsia"/>
                <w:bCs/>
                <w:szCs w:val="21"/>
                <w:lang w:eastAsia="zh-CN"/>
              </w:rPr>
              <w:t>交由有资质单位处置</w:t>
            </w:r>
          </w:p>
          <w:p>
            <w:pPr>
              <w:adjustRightInd w:val="0"/>
              <w:snapToGrid w:val="0"/>
              <w:spacing w:line="500" w:lineRule="exact"/>
              <w:ind w:firstLine="420" w:firstLineChars="200"/>
              <w:rPr>
                <w:rFonts w:hint="eastAsia"/>
                <w:bCs/>
                <w:szCs w:val="21"/>
              </w:rPr>
            </w:pPr>
            <w:r>
              <w:rPr>
                <w:rFonts w:hint="eastAsia"/>
                <w:bCs/>
                <w:szCs w:val="21"/>
                <w:lang w:val="en-US" w:eastAsia="zh-CN"/>
              </w:rPr>
              <w:t>4</w:t>
            </w:r>
            <w:r>
              <w:rPr>
                <w:rFonts w:hint="eastAsia"/>
                <w:bCs/>
                <w:szCs w:val="21"/>
              </w:rPr>
              <w:t>）污泥：项目污水处理站废水处理过程中会产生污泥（压滤后含水率60%），产生量按污水中悬浮物含量计算，约为</w:t>
            </w:r>
            <w:r>
              <w:rPr>
                <w:rFonts w:hint="eastAsia"/>
                <w:bCs/>
                <w:szCs w:val="21"/>
                <w:lang w:val="en-US" w:eastAsia="zh-CN"/>
              </w:rPr>
              <w:t>0.75</w:t>
            </w:r>
            <w:r>
              <w:rPr>
                <w:rFonts w:hint="eastAsia"/>
                <w:bCs/>
                <w:szCs w:val="21"/>
              </w:rPr>
              <w:t>t/a。</w:t>
            </w:r>
            <w:r>
              <w:rPr>
                <w:rFonts w:hint="eastAsia"/>
                <w:bCs/>
                <w:szCs w:val="21"/>
                <w:lang w:eastAsia="zh-CN"/>
              </w:rPr>
              <w:t>交由有资质单位处置</w:t>
            </w:r>
            <w:r>
              <w:rPr>
                <w:rFonts w:hint="eastAsia"/>
                <w:bCs/>
                <w:szCs w:val="21"/>
              </w:rPr>
              <w:t>。</w:t>
            </w:r>
          </w:p>
          <w:p>
            <w:pPr>
              <w:adjustRightInd w:val="0"/>
              <w:snapToGrid w:val="0"/>
              <w:spacing w:line="500" w:lineRule="exact"/>
              <w:ind w:firstLine="420" w:firstLineChars="200"/>
              <w:rPr>
                <w:bCs/>
                <w:szCs w:val="21"/>
              </w:rPr>
            </w:pPr>
            <w:r>
              <w:rPr>
                <w:rFonts w:hint="eastAsia"/>
                <w:bCs/>
                <w:szCs w:val="21"/>
                <w:lang w:val="en-US" w:eastAsia="zh-CN"/>
              </w:rPr>
              <w:t>5</w:t>
            </w:r>
            <w:r>
              <w:rPr>
                <w:rFonts w:hint="eastAsia"/>
                <w:bCs/>
                <w:szCs w:val="21"/>
              </w:rPr>
              <w:t>）废水在线监控设备废液：项目废水COD、NH</w:t>
            </w:r>
            <w:r>
              <w:rPr>
                <w:rFonts w:hint="eastAsia"/>
                <w:bCs/>
                <w:szCs w:val="21"/>
                <w:vertAlign w:val="subscript"/>
              </w:rPr>
              <w:t>3</w:t>
            </w:r>
            <w:r>
              <w:rPr>
                <w:rFonts w:hint="eastAsia"/>
                <w:bCs/>
                <w:szCs w:val="21"/>
              </w:rPr>
              <w:t>-N，pH、流量采用在线监测，在线监控设备在运营过程产生废液，产生量约1t/a，属于危险废物，交由有资质单位处置。</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根据《建设项目危险废物环境影响评价指南》的要求，对建设项目生产过程中产生的各类固体废物进行分析：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w:t>
            </w:r>
            <w:r>
              <w:rPr>
                <w:rFonts w:hint="default" w:ascii="Times New Roman" w:hAnsi="Times New Roman" w:eastAsia="宋体" w:cs="Times New Roman"/>
                <w:bCs/>
                <w:color w:val="auto"/>
                <w:szCs w:val="21"/>
              </w:rPr>
              <w:t>固体废物属性判定</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根据《固体废物污染环境防治法》的规定，判断建设项目生产过程中产生的副产品是否属于固体废物，判定依据为《固体废物鉴别标准通则》（GB34330-2017），结果见下表4-</w:t>
            </w:r>
            <w:r>
              <w:rPr>
                <w:rFonts w:hint="default" w:ascii="Times New Roman" w:hAnsi="Times New Roman" w:eastAsia="宋体" w:cs="Times New Roman"/>
                <w:bCs/>
                <w:color w:val="auto"/>
                <w:szCs w:val="21"/>
                <w:lang w:val="en-US" w:eastAsia="zh-CN"/>
              </w:rPr>
              <w:t>1</w:t>
            </w:r>
            <w:r>
              <w:rPr>
                <w:rFonts w:hint="eastAsia" w:cs="Times New Roman"/>
                <w:bCs/>
                <w:color w:val="auto"/>
                <w:szCs w:val="21"/>
                <w:lang w:val="en-US" w:eastAsia="zh-CN"/>
              </w:rPr>
              <w:t>5</w:t>
            </w:r>
            <w:r>
              <w:rPr>
                <w:rFonts w:hint="default" w:ascii="Times New Roman" w:hAnsi="Times New Roman" w:eastAsia="宋体" w:cs="Times New Roman"/>
                <w:bCs/>
                <w:color w:val="auto"/>
                <w:szCs w:val="21"/>
              </w:rPr>
              <w:t>。</w:t>
            </w:r>
          </w:p>
          <w:p>
            <w:pPr>
              <w:autoSpaceDE w:val="0"/>
              <w:autoSpaceDN w:val="0"/>
              <w:snapToGrid w:val="0"/>
              <w:spacing w:line="500" w:lineRule="exact"/>
              <w:jc w:val="center"/>
              <w:rPr>
                <w:b/>
                <w:snapToGrid w:val="0"/>
                <w:color w:val="auto"/>
                <w:kern w:val="0"/>
                <w:szCs w:val="21"/>
              </w:rPr>
            </w:pPr>
            <w:r>
              <w:rPr>
                <w:b/>
                <w:snapToGrid w:val="0"/>
                <w:color w:val="auto"/>
                <w:kern w:val="0"/>
                <w:szCs w:val="21"/>
              </w:rPr>
              <w:t>表</w:t>
            </w:r>
            <w:r>
              <w:rPr>
                <w:rFonts w:hint="eastAsia"/>
                <w:b/>
                <w:snapToGrid w:val="0"/>
                <w:color w:val="auto"/>
                <w:kern w:val="0"/>
                <w:szCs w:val="21"/>
              </w:rPr>
              <w:t>4-</w:t>
            </w:r>
            <w:r>
              <w:rPr>
                <w:rFonts w:hint="eastAsia"/>
                <w:b/>
                <w:snapToGrid w:val="0"/>
                <w:color w:val="auto"/>
                <w:kern w:val="0"/>
                <w:szCs w:val="21"/>
                <w:lang w:val="en-US" w:eastAsia="zh-CN"/>
              </w:rPr>
              <w:t xml:space="preserve">15 </w:t>
            </w:r>
            <w:r>
              <w:rPr>
                <w:b/>
                <w:snapToGrid w:val="0"/>
                <w:color w:val="auto"/>
                <w:kern w:val="0"/>
                <w:szCs w:val="21"/>
              </w:rPr>
              <w:t>建设项目</w:t>
            </w:r>
            <w:r>
              <w:rPr>
                <w:rFonts w:hint="eastAsia"/>
                <w:b/>
                <w:snapToGrid w:val="0"/>
                <w:color w:val="auto"/>
                <w:kern w:val="0"/>
                <w:szCs w:val="21"/>
                <w:lang w:val="en-US" w:eastAsia="zh-CN"/>
              </w:rPr>
              <w:t>副产品</w:t>
            </w:r>
            <w:r>
              <w:rPr>
                <w:b/>
                <w:snapToGrid w:val="0"/>
                <w:color w:val="auto"/>
                <w:kern w:val="0"/>
                <w:szCs w:val="21"/>
              </w:rPr>
              <w:t>产生情况汇总表</w:t>
            </w:r>
          </w:p>
          <w:tbl>
            <w:tblPr>
              <w:tblStyle w:val="11"/>
              <w:tblW w:w="757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067"/>
              <w:gridCol w:w="782"/>
              <w:gridCol w:w="606"/>
              <w:gridCol w:w="955"/>
              <w:gridCol w:w="795"/>
              <w:gridCol w:w="885"/>
              <w:gridCol w:w="915"/>
              <w:gridCol w:w="1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85" w:type="dxa"/>
                  <w:vMerge w:val="restart"/>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序号</w:t>
                  </w:r>
                </w:p>
              </w:tc>
              <w:tc>
                <w:tcPr>
                  <w:tcW w:w="1067" w:type="dxa"/>
                  <w:vMerge w:val="restart"/>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副产物</w:t>
                  </w:r>
                </w:p>
                <w:p>
                  <w:pPr>
                    <w:autoSpaceDE w:val="0"/>
                    <w:autoSpaceDN w:val="0"/>
                    <w:snapToGrid w:val="0"/>
                    <w:jc w:val="center"/>
                    <w:rPr>
                      <w:b/>
                      <w:bCs/>
                      <w:snapToGrid w:val="0"/>
                      <w:color w:val="auto"/>
                      <w:kern w:val="0"/>
                      <w:sz w:val="18"/>
                      <w:szCs w:val="18"/>
                    </w:rPr>
                  </w:pPr>
                  <w:r>
                    <w:rPr>
                      <w:b/>
                      <w:bCs/>
                      <w:snapToGrid w:val="0"/>
                      <w:color w:val="auto"/>
                      <w:kern w:val="0"/>
                      <w:sz w:val="18"/>
                      <w:szCs w:val="18"/>
                    </w:rPr>
                    <w:t>名称</w:t>
                  </w:r>
                </w:p>
              </w:tc>
              <w:tc>
                <w:tcPr>
                  <w:tcW w:w="782" w:type="dxa"/>
                  <w:vMerge w:val="restart"/>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产生</w:t>
                  </w:r>
                </w:p>
                <w:p>
                  <w:pPr>
                    <w:autoSpaceDE w:val="0"/>
                    <w:autoSpaceDN w:val="0"/>
                    <w:snapToGrid w:val="0"/>
                    <w:jc w:val="center"/>
                    <w:rPr>
                      <w:b/>
                      <w:bCs/>
                      <w:snapToGrid w:val="0"/>
                      <w:color w:val="auto"/>
                      <w:kern w:val="0"/>
                      <w:sz w:val="18"/>
                      <w:szCs w:val="18"/>
                    </w:rPr>
                  </w:pPr>
                  <w:r>
                    <w:rPr>
                      <w:b/>
                      <w:bCs/>
                      <w:snapToGrid w:val="0"/>
                      <w:color w:val="auto"/>
                      <w:kern w:val="0"/>
                      <w:sz w:val="18"/>
                      <w:szCs w:val="18"/>
                    </w:rPr>
                    <w:t>工序</w:t>
                  </w:r>
                </w:p>
              </w:tc>
              <w:tc>
                <w:tcPr>
                  <w:tcW w:w="606" w:type="dxa"/>
                  <w:vMerge w:val="restart"/>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形态</w:t>
                  </w:r>
                </w:p>
              </w:tc>
              <w:tc>
                <w:tcPr>
                  <w:tcW w:w="955" w:type="dxa"/>
                  <w:vMerge w:val="restart"/>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主要</w:t>
                  </w:r>
                </w:p>
                <w:p>
                  <w:pPr>
                    <w:autoSpaceDE w:val="0"/>
                    <w:autoSpaceDN w:val="0"/>
                    <w:snapToGrid w:val="0"/>
                    <w:jc w:val="center"/>
                    <w:rPr>
                      <w:b/>
                      <w:bCs/>
                      <w:snapToGrid w:val="0"/>
                      <w:color w:val="auto"/>
                      <w:kern w:val="0"/>
                      <w:sz w:val="18"/>
                      <w:szCs w:val="18"/>
                    </w:rPr>
                  </w:pPr>
                  <w:r>
                    <w:rPr>
                      <w:b/>
                      <w:bCs/>
                      <w:snapToGrid w:val="0"/>
                      <w:color w:val="auto"/>
                      <w:kern w:val="0"/>
                      <w:sz w:val="18"/>
                      <w:szCs w:val="18"/>
                    </w:rPr>
                    <w:t>成分</w:t>
                  </w:r>
                </w:p>
              </w:tc>
              <w:tc>
                <w:tcPr>
                  <w:tcW w:w="795" w:type="dxa"/>
                  <w:vMerge w:val="restart"/>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产生量</w:t>
                  </w:r>
                </w:p>
              </w:tc>
              <w:tc>
                <w:tcPr>
                  <w:tcW w:w="2887" w:type="dxa"/>
                  <w:gridSpan w:val="3"/>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种类判断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85" w:type="dxa"/>
                  <w:vMerge w:val="continue"/>
                  <w:noWrap w:val="0"/>
                  <w:vAlign w:val="center"/>
                </w:tcPr>
                <w:p>
                  <w:pPr>
                    <w:autoSpaceDE w:val="0"/>
                    <w:autoSpaceDN w:val="0"/>
                    <w:snapToGrid w:val="0"/>
                    <w:jc w:val="center"/>
                    <w:rPr>
                      <w:b/>
                      <w:bCs/>
                      <w:snapToGrid w:val="0"/>
                      <w:color w:val="auto"/>
                      <w:kern w:val="0"/>
                      <w:sz w:val="18"/>
                      <w:szCs w:val="18"/>
                    </w:rPr>
                  </w:pPr>
                </w:p>
              </w:tc>
              <w:tc>
                <w:tcPr>
                  <w:tcW w:w="1067" w:type="dxa"/>
                  <w:vMerge w:val="continue"/>
                  <w:noWrap w:val="0"/>
                  <w:vAlign w:val="center"/>
                </w:tcPr>
                <w:p>
                  <w:pPr>
                    <w:autoSpaceDE w:val="0"/>
                    <w:autoSpaceDN w:val="0"/>
                    <w:snapToGrid w:val="0"/>
                    <w:jc w:val="center"/>
                    <w:rPr>
                      <w:b/>
                      <w:bCs/>
                      <w:snapToGrid w:val="0"/>
                      <w:color w:val="auto"/>
                      <w:kern w:val="0"/>
                      <w:sz w:val="18"/>
                      <w:szCs w:val="18"/>
                    </w:rPr>
                  </w:pPr>
                </w:p>
              </w:tc>
              <w:tc>
                <w:tcPr>
                  <w:tcW w:w="782" w:type="dxa"/>
                  <w:vMerge w:val="continue"/>
                  <w:noWrap w:val="0"/>
                  <w:vAlign w:val="center"/>
                </w:tcPr>
                <w:p>
                  <w:pPr>
                    <w:autoSpaceDE w:val="0"/>
                    <w:autoSpaceDN w:val="0"/>
                    <w:snapToGrid w:val="0"/>
                    <w:jc w:val="center"/>
                    <w:rPr>
                      <w:b/>
                      <w:bCs/>
                      <w:snapToGrid w:val="0"/>
                      <w:color w:val="auto"/>
                      <w:kern w:val="0"/>
                      <w:sz w:val="18"/>
                      <w:szCs w:val="18"/>
                    </w:rPr>
                  </w:pPr>
                </w:p>
              </w:tc>
              <w:tc>
                <w:tcPr>
                  <w:tcW w:w="606" w:type="dxa"/>
                  <w:vMerge w:val="continue"/>
                  <w:noWrap w:val="0"/>
                  <w:vAlign w:val="center"/>
                </w:tcPr>
                <w:p>
                  <w:pPr>
                    <w:autoSpaceDE w:val="0"/>
                    <w:autoSpaceDN w:val="0"/>
                    <w:snapToGrid w:val="0"/>
                    <w:jc w:val="center"/>
                    <w:rPr>
                      <w:b/>
                      <w:bCs/>
                      <w:snapToGrid w:val="0"/>
                      <w:color w:val="auto"/>
                      <w:kern w:val="0"/>
                      <w:sz w:val="18"/>
                      <w:szCs w:val="18"/>
                    </w:rPr>
                  </w:pPr>
                </w:p>
              </w:tc>
              <w:tc>
                <w:tcPr>
                  <w:tcW w:w="955" w:type="dxa"/>
                  <w:vMerge w:val="continue"/>
                  <w:noWrap w:val="0"/>
                  <w:vAlign w:val="center"/>
                </w:tcPr>
                <w:p>
                  <w:pPr>
                    <w:autoSpaceDE w:val="0"/>
                    <w:autoSpaceDN w:val="0"/>
                    <w:snapToGrid w:val="0"/>
                    <w:jc w:val="center"/>
                    <w:rPr>
                      <w:b/>
                      <w:bCs/>
                      <w:snapToGrid w:val="0"/>
                      <w:color w:val="auto"/>
                      <w:kern w:val="0"/>
                      <w:sz w:val="18"/>
                      <w:szCs w:val="18"/>
                    </w:rPr>
                  </w:pPr>
                </w:p>
              </w:tc>
              <w:tc>
                <w:tcPr>
                  <w:tcW w:w="795" w:type="dxa"/>
                  <w:vMerge w:val="continue"/>
                  <w:noWrap w:val="0"/>
                  <w:vAlign w:val="center"/>
                </w:tcPr>
                <w:p>
                  <w:pPr>
                    <w:autoSpaceDE w:val="0"/>
                    <w:autoSpaceDN w:val="0"/>
                    <w:snapToGrid w:val="0"/>
                    <w:jc w:val="center"/>
                    <w:rPr>
                      <w:b/>
                      <w:bCs/>
                      <w:snapToGrid w:val="0"/>
                      <w:color w:val="auto"/>
                      <w:kern w:val="0"/>
                      <w:sz w:val="18"/>
                      <w:szCs w:val="18"/>
                    </w:rPr>
                  </w:pPr>
                </w:p>
              </w:tc>
              <w:tc>
                <w:tcPr>
                  <w:tcW w:w="885"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固体</w:t>
                  </w:r>
                </w:p>
                <w:p>
                  <w:pPr>
                    <w:autoSpaceDE w:val="0"/>
                    <w:autoSpaceDN w:val="0"/>
                    <w:snapToGrid w:val="0"/>
                    <w:jc w:val="center"/>
                    <w:rPr>
                      <w:b/>
                      <w:bCs/>
                      <w:snapToGrid w:val="0"/>
                      <w:color w:val="auto"/>
                      <w:kern w:val="0"/>
                      <w:sz w:val="18"/>
                      <w:szCs w:val="18"/>
                    </w:rPr>
                  </w:pPr>
                  <w:r>
                    <w:rPr>
                      <w:b/>
                      <w:bCs/>
                      <w:snapToGrid w:val="0"/>
                      <w:color w:val="auto"/>
                      <w:kern w:val="0"/>
                      <w:sz w:val="18"/>
                      <w:szCs w:val="18"/>
                    </w:rPr>
                    <w:t>废物</w:t>
                  </w:r>
                </w:p>
              </w:tc>
              <w:tc>
                <w:tcPr>
                  <w:tcW w:w="915"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副产品</w:t>
                  </w:r>
                </w:p>
              </w:tc>
              <w:tc>
                <w:tcPr>
                  <w:tcW w:w="1087"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判定</w:t>
                  </w:r>
                </w:p>
                <w:p>
                  <w:pPr>
                    <w:autoSpaceDE w:val="0"/>
                    <w:autoSpaceDN w:val="0"/>
                    <w:snapToGrid w:val="0"/>
                    <w:jc w:val="center"/>
                    <w:rPr>
                      <w:b/>
                      <w:bCs/>
                      <w:snapToGrid w:val="0"/>
                      <w:color w:val="auto"/>
                      <w:kern w:val="0"/>
                      <w:sz w:val="18"/>
                      <w:szCs w:val="18"/>
                    </w:rPr>
                  </w:pPr>
                  <w:r>
                    <w:rPr>
                      <w:b/>
                      <w:bCs/>
                      <w:snapToGrid w:val="0"/>
                      <w:color w:val="auto"/>
                      <w:kern w:val="0"/>
                      <w:sz w:val="18"/>
                      <w:szCs w:val="18"/>
                    </w:rPr>
                    <w:t>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1</w:t>
                  </w:r>
                </w:p>
              </w:tc>
              <w:tc>
                <w:tcPr>
                  <w:tcW w:w="1067" w:type="dxa"/>
                  <w:noWrap w:val="0"/>
                  <w:vAlign w:val="center"/>
                </w:tcPr>
                <w:p>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废纱</w:t>
                  </w:r>
                </w:p>
              </w:tc>
              <w:tc>
                <w:tcPr>
                  <w:tcW w:w="782" w:type="dxa"/>
                  <w:noWrap w:val="0"/>
                  <w:vAlign w:val="center"/>
                </w:tcPr>
                <w:p>
                  <w:pPr>
                    <w:jc w:val="center"/>
                    <w:rPr>
                      <w:rFonts w:hint="default"/>
                      <w:color w:val="auto"/>
                      <w:sz w:val="18"/>
                      <w:szCs w:val="18"/>
                      <w:lang w:val="en-US" w:eastAsia="zh-CN"/>
                    </w:rPr>
                  </w:pPr>
                  <w:r>
                    <w:rPr>
                      <w:rFonts w:hint="eastAsia"/>
                      <w:color w:val="auto"/>
                      <w:sz w:val="18"/>
                      <w:szCs w:val="18"/>
                      <w:lang w:val="en-US" w:eastAsia="zh-CN"/>
                    </w:rPr>
                    <w:t>倒毛、织片</w:t>
                  </w:r>
                </w:p>
              </w:tc>
              <w:tc>
                <w:tcPr>
                  <w:tcW w:w="606"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snapToGrid w:val="0"/>
                      <w:color w:val="auto"/>
                      <w:kern w:val="0"/>
                      <w:sz w:val="18"/>
                      <w:szCs w:val="18"/>
                    </w:rPr>
                    <w:t>固</w:t>
                  </w:r>
                </w:p>
              </w:tc>
              <w:tc>
                <w:tcPr>
                  <w:tcW w:w="955"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毛、棉、化纤</w:t>
                  </w:r>
                </w:p>
              </w:tc>
              <w:tc>
                <w:tcPr>
                  <w:tcW w:w="795"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2</w:t>
                  </w:r>
                  <w:r>
                    <w:rPr>
                      <w:snapToGrid w:val="0"/>
                      <w:color w:val="auto"/>
                      <w:kern w:val="0"/>
                      <w:sz w:val="18"/>
                      <w:szCs w:val="18"/>
                    </w:rPr>
                    <w:t>t/a</w:t>
                  </w:r>
                </w:p>
              </w:tc>
              <w:tc>
                <w:tcPr>
                  <w:tcW w:w="885" w:type="dxa"/>
                  <w:noWrap w:val="0"/>
                  <w:vAlign w:val="center"/>
                </w:tcPr>
                <w:p>
                  <w:pPr>
                    <w:jc w:val="center"/>
                    <w:rPr>
                      <w:snapToGrid w:val="0"/>
                      <w:color w:val="auto"/>
                      <w:kern w:val="0"/>
                      <w:sz w:val="18"/>
                      <w:szCs w:val="18"/>
                    </w:rPr>
                  </w:pPr>
                  <w:r>
                    <w:rPr>
                      <w:snapToGrid w:val="0"/>
                      <w:color w:val="auto"/>
                      <w:kern w:val="0"/>
                      <w:sz w:val="18"/>
                      <w:szCs w:val="18"/>
                    </w:rPr>
                    <w:t>√</w:t>
                  </w:r>
                </w:p>
              </w:tc>
              <w:tc>
                <w:tcPr>
                  <w:tcW w:w="915"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w:t>
                  </w:r>
                </w:p>
              </w:tc>
              <w:tc>
                <w:tcPr>
                  <w:tcW w:w="1087" w:type="dxa"/>
                  <w:vMerge w:val="restart"/>
                  <w:noWrap w:val="0"/>
                  <w:vAlign w:val="center"/>
                </w:tcPr>
                <w:p>
                  <w:pPr>
                    <w:autoSpaceDE w:val="0"/>
                    <w:autoSpaceDN w:val="0"/>
                    <w:snapToGrid w:val="0"/>
                    <w:jc w:val="center"/>
                    <w:rPr>
                      <w:rFonts w:hint="eastAsia"/>
                      <w:snapToGrid w:val="0"/>
                      <w:color w:val="auto"/>
                      <w:kern w:val="0"/>
                      <w:sz w:val="18"/>
                      <w:szCs w:val="18"/>
                    </w:rPr>
                  </w:pPr>
                  <w:r>
                    <w:rPr>
                      <w:rFonts w:hint="eastAsia"/>
                      <w:snapToGrid w:val="0"/>
                      <w:color w:val="auto"/>
                      <w:kern w:val="0"/>
                      <w:sz w:val="18"/>
                      <w:szCs w:val="18"/>
                    </w:rPr>
                    <w:t>《固体废物鉴别标准通则》（GB34330-2017）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2</w:t>
                  </w:r>
                </w:p>
              </w:tc>
              <w:tc>
                <w:tcPr>
                  <w:tcW w:w="1067" w:type="dxa"/>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不合格品</w:t>
                  </w:r>
                </w:p>
              </w:tc>
              <w:tc>
                <w:tcPr>
                  <w:tcW w:w="782" w:type="dxa"/>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总检</w:t>
                  </w:r>
                </w:p>
              </w:tc>
              <w:tc>
                <w:tcPr>
                  <w:tcW w:w="606" w:type="dxa"/>
                  <w:noWrap w:val="0"/>
                  <w:vAlign w:val="center"/>
                </w:tcPr>
                <w:p>
                  <w:pPr>
                    <w:autoSpaceDE w:val="0"/>
                    <w:autoSpaceDN w:val="0"/>
                    <w:snapToGrid w:val="0"/>
                    <w:jc w:val="center"/>
                    <w:rPr>
                      <w:snapToGrid w:val="0"/>
                      <w:color w:val="auto"/>
                      <w:kern w:val="0"/>
                      <w:sz w:val="18"/>
                      <w:szCs w:val="18"/>
                    </w:rPr>
                  </w:pPr>
                  <w:r>
                    <w:rPr>
                      <w:snapToGrid w:val="0"/>
                      <w:color w:val="auto"/>
                      <w:kern w:val="0"/>
                      <w:sz w:val="18"/>
                      <w:szCs w:val="18"/>
                    </w:rPr>
                    <w:t>固</w:t>
                  </w:r>
                </w:p>
              </w:tc>
              <w:tc>
                <w:tcPr>
                  <w:tcW w:w="955" w:type="dxa"/>
                  <w:noWrap w:val="0"/>
                  <w:vAlign w:val="center"/>
                </w:tcPr>
                <w:p>
                  <w:pPr>
                    <w:jc w:val="center"/>
                    <w:rPr>
                      <w:rFonts w:hint="default" w:eastAsia="宋体"/>
                      <w:color w:val="auto"/>
                      <w:kern w:val="2"/>
                      <w:sz w:val="18"/>
                      <w:szCs w:val="18"/>
                      <w:lang w:val="en-US" w:eastAsia="zh-CN" w:bidi="ar-SA"/>
                    </w:rPr>
                  </w:pPr>
                  <w:r>
                    <w:rPr>
                      <w:rFonts w:hint="eastAsia"/>
                      <w:color w:val="auto"/>
                      <w:sz w:val="18"/>
                      <w:szCs w:val="18"/>
                      <w:lang w:val="en-US" w:eastAsia="zh-CN"/>
                    </w:rPr>
                    <w:t>毛、棉、化纤</w:t>
                  </w:r>
                </w:p>
              </w:tc>
              <w:tc>
                <w:tcPr>
                  <w:tcW w:w="795" w:type="dxa"/>
                  <w:noWrap w:val="0"/>
                  <w:vAlign w:val="center"/>
                </w:tcPr>
                <w:p>
                  <w:pPr>
                    <w:autoSpaceDE w:val="0"/>
                    <w:autoSpaceDN w:val="0"/>
                    <w:snapToGrid w:val="0"/>
                    <w:jc w:val="center"/>
                    <w:rPr>
                      <w:rFonts w:hint="eastAsia"/>
                      <w:snapToGrid w:val="0"/>
                      <w:color w:val="auto"/>
                      <w:kern w:val="0"/>
                      <w:sz w:val="18"/>
                      <w:szCs w:val="18"/>
                    </w:rPr>
                  </w:pPr>
                  <w:r>
                    <w:rPr>
                      <w:rFonts w:hint="eastAsia"/>
                      <w:snapToGrid w:val="0"/>
                      <w:color w:val="auto"/>
                      <w:kern w:val="0"/>
                      <w:sz w:val="18"/>
                      <w:szCs w:val="18"/>
                      <w:lang w:val="en-US" w:eastAsia="zh-CN"/>
                    </w:rPr>
                    <w:t>3</w:t>
                  </w:r>
                  <w:r>
                    <w:rPr>
                      <w:snapToGrid w:val="0"/>
                      <w:color w:val="auto"/>
                      <w:kern w:val="0"/>
                      <w:sz w:val="18"/>
                      <w:szCs w:val="18"/>
                    </w:rPr>
                    <w:t>t/a</w:t>
                  </w:r>
                </w:p>
              </w:tc>
              <w:tc>
                <w:tcPr>
                  <w:tcW w:w="885" w:type="dxa"/>
                  <w:noWrap w:val="0"/>
                  <w:vAlign w:val="center"/>
                </w:tcPr>
                <w:p>
                  <w:pPr>
                    <w:jc w:val="center"/>
                    <w:rPr>
                      <w:snapToGrid w:val="0"/>
                      <w:color w:val="auto"/>
                      <w:kern w:val="0"/>
                      <w:sz w:val="18"/>
                      <w:szCs w:val="18"/>
                    </w:rPr>
                  </w:pPr>
                  <w:r>
                    <w:rPr>
                      <w:snapToGrid w:val="0"/>
                      <w:color w:val="auto"/>
                      <w:kern w:val="0"/>
                      <w:sz w:val="18"/>
                      <w:szCs w:val="18"/>
                    </w:rPr>
                    <w:t>√</w:t>
                  </w:r>
                </w:p>
              </w:tc>
              <w:tc>
                <w:tcPr>
                  <w:tcW w:w="915"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w:t>
                  </w:r>
                </w:p>
              </w:tc>
              <w:tc>
                <w:tcPr>
                  <w:tcW w:w="1087" w:type="dxa"/>
                  <w:vMerge w:val="continue"/>
                  <w:noWrap w:val="0"/>
                  <w:vAlign w:val="center"/>
                </w:tcPr>
                <w:p>
                  <w:pPr>
                    <w:autoSpaceDE w:val="0"/>
                    <w:autoSpaceDN w:val="0"/>
                    <w:snapToGrid w:val="0"/>
                    <w:jc w:val="center"/>
                    <w:rPr>
                      <w:rFonts w:hint="eastAsia"/>
                      <w:snapToGrid w:val="0"/>
                      <w:color w:val="auto"/>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noWrap w:val="0"/>
                  <w:vAlign w:val="center"/>
                </w:tcPr>
                <w:p>
                  <w:pPr>
                    <w:autoSpaceDE w:val="0"/>
                    <w:autoSpaceDN w:val="0"/>
                    <w:snapToGrid w:val="0"/>
                    <w:jc w:val="center"/>
                    <w:rPr>
                      <w:rFonts w:hint="default" w:eastAsia="宋体"/>
                      <w:snapToGrid w:val="0"/>
                      <w:color w:val="auto"/>
                      <w:kern w:val="0"/>
                      <w:sz w:val="18"/>
                      <w:szCs w:val="18"/>
                      <w:lang w:val="en-US" w:eastAsia="zh-CN"/>
                    </w:rPr>
                  </w:pPr>
                  <w:r>
                    <w:rPr>
                      <w:rFonts w:hint="eastAsia"/>
                      <w:snapToGrid w:val="0"/>
                      <w:color w:val="auto"/>
                      <w:kern w:val="0"/>
                      <w:sz w:val="18"/>
                      <w:szCs w:val="18"/>
                      <w:lang w:val="en-US" w:eastAsia="zh-CN"/>
                    </w:rPr>
                    <w:t>3</w:t>
                  </w:r>
                </w:p>
              </w:tc>
              <w:tc>
                <w:tcPr>
                  <w:tcW w:w="1067" w:type="dxa"/>
                  <w:noWrap w:val="0"/>
                  <w:vAlign w:val="center"/>
                </w:tcPr>
                <w:p>
                  <w:pPr>
                    <w:jc w:val="center"/>
                    <w:rPr>
                      <w:rFonts w:hint="default"/>
                      <w:color w:val="auto"/>
                      <w:sz w:val="18"/>
                      <w:szCs w:val="18"/>
                      <w:lang w:val="en-US" w:eastAsia="zh-CN"/>
                    </w:rPr>
                  </w:pPr>
                  <w:r>
                    <w:rPr>
                      <w:rFonts w:hint="eastAsia"/>
                      <w:color w:val="auto"/>
                      <w:sz w:val="18"/>
                      <w:szCs w:val="18"/>
                      <w:lang w:val="en-US" w:eastAsia="zh-CN"/>
                    </w:rPr>
                    <w:t>废包装桶</w:t>
                  </w:r>
                </w:p>
              </w:tc>
              <w:tc>
                <w:tcPr>
                  <w:tcW w:w="782" w:type="dxa"/>
                  <w:noWrap w:val="0"/>
                  <w:vAlign w:val="center"/>
                </w:tcPr>
                <w:p>
                  <w:pPr>
                    <w:jc w:val="center"/>
                    <w:rPr>
                      <w:rFonts w:hint="default"/>
                      <w:color w:val="auto"/>
                      <w:sz w:val="18"/>
                      <w:szCs w:val="18"/>
                      <w:lang w:val="en-US" w:eastAsia="zh-CN"/>
                    </w:rPr>
                  </w:pPr>
                  <w:r>
                    <w:rPr>
                      <w:rFonts w:hint="eastAsia"/>
                      <w:color w:val="auto"/>
                      <w:sz w:val="18"/>
                      <w:szCs w:val="18"/>
                      <w:lang w:val="en-US" w:eastAsia="zh-CN"/>
                    </w:rPr>
                    <w:t>原料使用</w:t>
                  </w:r>
                </w:p>
              </w:tc>
              <w:tc>
                <w:tcPr>
                  <w:tcW w:w="606" w:type="dxa"/>
                  <w:noWrap w:val="0"/>
                  <w:vAlign w:val="center"/>
                </w:tcPr>
                <w:p>
                  <w:pPr>
                    <w:autoSpaceDE w:val="0"/>
                    <w:autoSpaceDN w:val="0"/>
                    <w:snapToGrid w:val="0"/>
                    <w:jc w:val="center"/>
                    <w:rPr>
                      <w:snapToGrid w:val="0"/>
                      <w:color w:val="auto"/>
                      <w:kern w:val="0"/>
                      <w:sz w:val="18"/>
                      <w:szCs w:val="18"/>
                    </w:rPr>
                  </w:pPr>
                  <w:r>
                    <w:rPr>
                      <w:snapToGrid w:val="0"/>
                      <w:color w:val="auto"/>
                      <w:kern w:val="0"/>
                      <w:sz w:val="18"/>
                      <w:szCs w:val="18"/>
                    </w:rPr>
                    <w:t>固</w:t>
                  </w:r>
                </w:p>
              </w:tc>
              <w:tc>
                <w:tcPr>
                  <w:tcW w:w="955" w:type="dxa"/>
                  <w:noWrap w:val="0"/>
                  <w:vAlign w:val="center"/>
                </w:tcPr>
                <w:p>
                  <w:pPr>
                    <w:jc w:val="center"/>
                    <w:rPr>
                      <w:rFonts w:hint="eastAsia" w:eastAsia="宋体"/>
                      <w:color w:val="auto"/>
                      <w:sz w:val="18"/>
                      <w:szCs w:val="18"/>
                      <w:lang w:val="en-US" w:eastAsia="zh-CN"/>
                    </w:rPr>
                  </w:pPr>
                  <w:r>
                    <w:rPr>
                      <w:rFonts w:hint="eastAsia"/>
                      <w:color w:val="auto"/>
                      <w:sz w:val="18"/>
                      <w:szCs w:val="18"/>
                      <w:lang w:val="en-US" w:eastAsia="zh-CN"/>
                    </w:rPr>
                    <w:t>洗涤剂等</w:t>
                  </w:r>
                </w:p>
              </w:tc>
              <w:tc>
                <w:tcPr>
                  <w:tcW w:w="795" w:type="dxa"/>
                  <w:noWrap w:val="0"/>
                  <w:vAlign w:val="center"/>
                </w:tcPr>
                <w:p>
                  <w:pPr>
                    <w:autoSpaceDE w:val="0"/>
                    <w:autoSpaceDN w:val="0"/>
                    <w:snapToGrid w:val="0"/>
                    <w:jc w:val="center"/>
                    <w:rPr>
                      <w:rFonts w:hint="eastAsia"/>
                      <w:snapToGrid w:val="0"/>
                      <w:color w:val="auto"/>
                      <w:kern w:val="0"/>
                      <w:sz w:val="18"/>
                      <w:szCs w:val="18"/>
                    </w:rPr>
                  </w:pPr>
                  <w:r>
                    <w:rPr>
                      <w:rFonts w:hint="eastAsia"/>
                      <w:snapToGrid w:val="0"/>
                      <w:color w:val="auto"/>
                      <w:kern w:val="0"/>
                      <w:sz w:val="18"/>
                      <w:szCs w:val="18"/>
                      <w:lang w:val="en-US" w:eastAsia="zh-CN"/>
                    </w:rPr>
                    <w:t>0.24</w:t>
                  </w:r>
                  <w:r>
                    <w:rPr>
                      <w:snapToGrid w:val="0"/>
                      <w:color w:val="auto"/>
                      <w:kern w:val="0"/>
                      <w:sz w:val="18"/>
                      <w:szCs w:val="18"/>
                    </w:rPr>
                    <w:t>t/a</w:t>
                  </w:r>
                </w:p>
              </w:tc>
              <w:tc>
                <w:tcPr>
                  <w:tcW w:w="885" w:type="dxa"/>
                  <w:noWrap w:val="0"/>
                  <w:vAlign w:val="center"/>
                </w:tcPr>
                <w:p>
                  <w:pPr>
                    <w:jc w:val="center"/>
                    <w:rPr>
                      <w:snapToGrid w:val="0"/>
                      <w:color w:val="auto"/>
                      <w:kern w:val="0"/>
                      <w:sz w:val="18"/>
                      <w:szCs w:val="18"/>
                    </w:rPr>
                  </w:pPr>
                  <w:r>
                    <w:rPr>
                      <w:snapToGrid w:val="0"/>
                      <w:color w:val="auto"/>
                      <w:kern w:val="0"/>
                      <w:sz w:val="18"/>
                      <w:szCs w:val="18"/>
                    </w:rPr>
                    <w:t>√</w:t>
                  </w:r>
                </w:p>
              </w:tc>
              <w:tc>
                <w:tcPr>
                  <w:tcW w:w="915"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w:t>
                  </w:r>
                </w:p>
              </w:tc>
              <w:tc>
                <w:tcPr>
                  <w:tcW w:w="1087" w:type="dxa"/>
                  <w:vMerge w:val="continue"/>
                  <w:noWrap w:val="0"/>
                  <w:vAlign w:val="center"/>
                </w:tcPr>
                <w:p>
                  <w:pPr>
                    <w:autoSpaceDE w:val="0"/>
                    <w:autoSpaceDN w:val="0"/>
                    <w:snapToGrid w:val="0"/>
                    <w:jc w:val="center"/>
                    <w:rPr>
                      <w:rFonts w:hint="eastAsia"/>
                      <w:snapToGrid w:val="0"/>
                      <w:color w:val="auto"/>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5" w:type="dxa"/>
                  <w:noWrap w:val="0"/>
                  <w:vAlign w:val="center"/>
                </w:tcPr>
                <w:p>
                  <w:pPr>
                    <w:autoSpaceDE w:val="0"/>
                    <w:autoSpaceDN w:val="0"/>
                    <w:snapToGrid w:val="0"/>
                    <w:jc w:val="center"/>
                    <w:rPr>
                      <w:rFonts w:hint="default" w:eastAsia="宋体"/>
                      <w:snapToGrid w:val="0"/>
                      <w:color w:val="auto"/>
                      <w:kern w:val="0"/>
                      <w:sz w:val="18"/>
                      <w:szCs w:val="18"/>
                      <w:lang w:val="en-US" w:eastAsia="zh-CN"/>
                    </w:rPr>
                  </w:pPr>
                  <w:r>
                    <w:rPr>
                      <w:rFonts w:hint="eastAsia"/>
                      <w:snapToGrid w:val="0"/>
                      <w:color w:val="auto"/>
                      <w:kern w:val="0"/>
                      <w:sz w:val="18"/>
                      <w:szCs w:val="18"/>
                      <w:lang w:val="en-US" w:eastAsia="zh-CN"/>
                    </w:rPr>
                    <w:t>4</w:t>
                  </w:r>
                </w:p>
              </w:tc>
              <w:tc>
                <w:tcPr>
                  <w:tcW w:w="1067" w:type="dxa"/>
                  <w:noWrap w:val="0"/>
                  <w:vAlign w:val="center"/>
                </w:tcPr>
                <w:p>
                  <w:pPr>
                    <w:jc w:val="center"/>
                    <w:rPr>
                      <w:rFonts w:hint="default"/>
                      <w:color w:val="auto"/>
                      <w:sz w:val="18"/>
                      <w:szCs w:val="18"/>
                      <w:lang w:val="en-US" w:eastAsia="zh-CN"/>
                    </w:rPr>
                  </w:pPr>
                  <w:r>
                    <w:rPr>
                      <w:rFonts w:hint="eastAsia"/>
                      <w:color w:val="auto"/>
                      <w:sz w:val="18"/>
                      <w:szCs w:val="18"/>
                      <w:lang w:val="en-US" w:eastAsia="zh-CN"/>
                    </w:rPr>
                    <w:t>污泥</w:t>
                  </w:r>
                </w:p>
              </w:tc>
              <w:tc>
                <w:tcPr>
                  <w:tcW w:w="782" w:type="dxa"/>
                  <w:noWrap w:val="0"/>
                  <w:vAlign w:val="center"/>
                </w:tcPr>
                <w:p>
                  <w:pPr>
                    <w:jc w:val="center"/>
                    <w:rPr>
                      <w:rFonts w:hint="default"/>
                      <w:color w:val="auto"/>
                      <w:sz w:val="18"/>
                      <w:szCs w:val="18"/>
                      <w:lang w:val="en-US" w:eastAsia="zh-CN"/>
                    </w:rPr>
                  </w:pPr>
                  <w:r>
                    <w:rPr>
                      <w:rFonts w:hint="eastAsia"/>
                      <w:color w:val="auto"/>
                      <w:sz w:val="18"/>
                      <w:szCs w:val="18"/>
                      <w:lang w:val="en-US" w:eastAsia="zh-CN"/>
                    </w:rPr>
                    <w:t>废水处理</w:t>
                  </w:r>
                </w:p>
              </w:tc>
              <w:tc>
                <w:tcPr>
                  <w:tcW w:w="606" w:type="dxa"/>
                  <w:noWrap w:val="0"/>
                  <w:vAlign w:val="center"/>
                </w:tcPr>
                <w:p>
                  <w:pPr>
                    <w:autoSpaceDE w:val="0"/>
                    <w:autoSpaceDN w:val="0"/>
                    <w:snapToGrid w:val="0"/>
                    <w:jc w:val="center"/>
                    <w:rPr>
                      <w:snapToGrid w:val="0"/>
                      <w:color w:val="auto"/>
                      <w:kern w:val="0"/>
                      <w:sz w:val="18"/>
                      <w:szCs w:val="18"/>
                    </w:rPr>
                  </w:pPr>
                  <w:r>
                    <w:rPr>
                      <w:rFonts w:hint="eastAsia"/>
                      <w:snapToGrid w:val="0"/>
                      <w:color w:val="auto"/>
                      <w:kern w:val="0"/>
                      <w:sz w:val="18"/>
                      <w:szCs w:val="18"/>
                      <w:lang w:eastAsia="zh-CN"/>
                    </w:rPr>
                    <w:t>半</w:t>
                  </w:r>
                  <w:r>
                    <w:rPr>
                      <w:snapToGrid w:val="0"/>
                      <w:color w:val="auto"/>
                      <w:kern w:val="0"/>
                      <w:sz w:val="18"/>
                      <w:szCs w:val="18"/>
                    </w:rPr>
                    <w:t>固</w:t>
                  </w:r>
                </w:p>
              </w:tc>
              <w:tc>
                <w:tcPr>
                  <w:tcW w:w="955" w:type="dxa"/>
                  <w:noWrap w:val="0"/>
                  <w:vAlign w:val="center"/>
                </w:tcPr>
                <w:p>
                  <w:pPr>
                    <w:jc w:val="center"/>
                    <w:rPr>
                      <w:rFonts w:hint="eastAsia" w:eastAsia="宋体"/>
                      <w:color w:val="auto"/>
                      <w:sz w:val="18"/>
                      <w:szCs w:val="18"/>
                      <w:lang w:eastAsia="zh-CN"/>
                    </w:rPr>
                  </w:pPr>
                  <w:r>
                    <w:rPr>
                      <w:rFonts w:hint="eastAsia"/>
                      <w:color w:val="auto"/>
                      <w:sz w:val="18"/>
                      <w:szCs w:val="18"/>
                      <w:lang w:eastAsia="zh-CN"/>
                    </w:rPr>
                    <w:t>污泥</w:t>
                  </w:r>
                </w:p>
              </w:tc>
              <w:tc>
                <w:tcPr>
                  <w:tcW w:w="795" w:type="dxa"/>
                  <w:noWrap w:val="0"/>
                  <w:vAlign w:val="center"/>
                </w:tcPr>
                <w:p>
                  <w:pPr>
                    <w:autoSpaceDE w:val="0"/>
                    <w:autoSpaceDN w:val="0"/>
                    <w:snapToGrid w:val="0"/>
                    <w:jc w:val="center"/>
                    <w:rPr>
                      <w:rFonts w:hint="eastAsia"/>
                      <w:snapToGrid w:val="0"/>
                      <w:color w:val="auto"/>
                      <w:kern w:val="0"/>
                      <w:sz w:val="18"/>
                      <w:szCs w:val="18"/>
                    </w:rPr>
                  </w:pPr>
                  <w:r>
                    <w:rPr>
                      <w:rFonts w:hint="eastAsia"/>
                      <w:snapToGrid w:val="0"/>
                      <w:color w:val="auto"/>
                      <w:kern w:val="0"/>
                      <w:sz w:val="18"/>
                      <w:szCs w:val="18"/>
                      <w:lang w:val="en-US" w:eastAsia="zh-CN"/>
                    </w:rPr>
                    <w:t>0.75</w:t>
                  </w:r>
                  <w:r>
                    <w:rPr>
                      <w:snapToGrid w:val="0"/>
                      <w:color w:val="auto"/>
                      <w:kern w:val="0"/>
                      <w:sz w:val="18"/>
                      <w:szCs w:val="18"/>
                    </w:rPr>
                    <w:t>t/a</w:t>
                  </w:r>
                </w:p>
              </w:tc>
              <w:tc>
                <w:tcPr>
                  <w:tcW w:w="885" w:type="dxa"/>
                  <w:noWrap w:val="0"/>
                  <w:vAlign w:val="center"/>
                </w:tcPr>
                <w:p>
                  <w:pPr>
                    <w:jc w:val="center"/>
                    <w:rPr>
                      <w:snapToGrid w:val="0"/>
                      <w:color w:val="auto"/>
                      <w:kern w:val="0"/>
                      <w:sz w:val="18"/>
                      <w:szCs w:val="18"/>
                    </w:rPr>
                  </w:pPr>
                  <w:r>
                    <w:rPr>
                      <w:snapToGrid w:val="0"/>
                      <w:color w:val="auto"/>
                      <w:kern w:val="0"/>
                      <w:sz w:val="18"/>
                      <w:szCs w:val="18"/>
                    </w:rPr>
                    <w:t>√</w:t>
                  </w:r>
                </w:p>
              </w:tc>
              <w:tc>
                <w:tcPr>
                  <w:tcW w:w="915"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w:t>
                  </w:r>
                </w:p>
              </w:tc>
              <w:tc>
                <w:tcPr>
                  <w:tcW w:w="1087" w:type="dxa"/>
                  <w:vMerge w:val="continue"/>
                  <w:noWrap w:val="0"/>
                  <w:vAlign w:val="center"/>
                </w:tcPr>
                <w:p>
                  <w:pPr>
                    <w:autoSpaceDE w:val="0"/>
                    <w:autoSpaceDN w:val="0"/>
                    <w:snapToGrid w:val="0"/>
                    <w:jc w:val="center"/>
                    <w:rPr>
                      <w:rFonts w:hint="eastAsia"/>
                      <w:snapToGrid w:val="0"/>
                      <w:color w:val="auto"/>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5" w:type="dxa"/>
                  <w:noWrap w:val="0"/>
                  <w:vAlign w:val="center"/>
                </w:tcPr>
                <w:p>
                  <w:pPr>
                    <w:autoSpaceDE w:val="0"/>
                    <w:autoSpaceDN w:val="0"/>
                    <w:snapToGrid w:val="0"/>
                    <w:jc w:val="center"/>
                    <w:rPr>
                      <w:rFonts w:hint="default"/>
                      <w:snapToGrid w:val="0"/>
                      <w:color w:val="auto"/>
                      <w:kern w:val="0"/>
                      <w:sz w:val="18"/>
                      <w:szCs w:val="18"/>
                      <w:lang w:val="en-US" w:eastAsia="zh-CN"/>
                    </w:rPr>
                  </w:pPr>
                  <w:r>
                    <w:rPr>
                      <w:rFonts w:hint="eastAsia"/>
                      <w:snapToGrid w:val="0"/>
                      <w:color w:val="auto"/>
                      <w:kern w:val="0"/>
                      <w:sz w:val="18"/>
                      <w:szCs w:val="18"/>
                      <w:lang w:val="en-US" w:eastAsia="zh-CN"/>
                    </w:rPr>
                    <w:t>5</w:t>
                  </w:r>
                </w:p>
              </w:tc>
              <w:tc>
                <w:tcPr>
                  <w:tcW w:w="1067"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废水在线监控设备废液</w:t>
                  </w:r>
                </w:p>
              </w:tc>
              <w:tc>
                <w:tcPr>
                  <w:tcW w:w="782"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在线监测</w:t>
                  </w:r>
                </w:p>
              </w:tc>
              <w:tc>
                <w:tcPr>
                  <w:tcW w:w="606" w:type="dxa"/>
                  <w:noWrap w:val="0"/>
                  <w:vAlign w:val="center"/>
                </w:tcPr>
                <w:p>
                  <w:pPr>
                    <w:autoSpaceDE w:val="0"/>
                    <w:autoSpaceDN w:val="0"/>
                    <w:snapToGrid w:val="0"/>
                    <w:jc w:val="center"/>
                    <w:rPr>
                      <w:rFonts w:hint="eastAsia" w:eastAsia="宋体"/>
                      <w:snapToGrid w:val="0"/>
                      <w:color w:val="auto"/>
                      <w:kern w:val="0"/>
                      <w:sz w:val="18"/>
                      <w:szCs w:val="18"/>
                      <w:lang w:eastAsia="zh-CN"/>
                    </w:rPr>
                  </w:pPr>
                  <w:r>
                    <w:rPr>
                      <w:rFonts w:hint="eastAsia"/>
                      <w:snapToGrid w:val="0"/>
                      <w:color w:val="auto"/>
                      <w:kern w:val="0"/>
                      <w:sz w:val="18"/>
                      <w:szCs w:val="18"/>
                      <w:lang w:eastAsia="zh-CN"/>
                    </w:rPr>
                    <w:t>液</w:t>
                  </w:r>
                </w:p>
              </w:tc>
              <w:tc>
                <w:tcPr>
                  <w:tcW w:w="955"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试剂等</w:t>
                  </w:r>
                </w:p>
              </w:tc>
              <w:tc>
                <w:tcPr>
                  <w:tcW w:w="795" w:type="dxa"/>
                  <w:noWrap w:val="0"/>
                  <w:vAlign w:val="center"/>
                </w:tcPr>
                <w:p>
                  <w:pPr>
                    <w:autoSpaceDE w:val="0"/>
                    <w:autoSpaceDN w:val="0"/>
                    <w:snapToGrid w:val="0"/>
                    <w:jc w:val="center"/>
                    <w:rPr>
                      <w:rFonts w:hint="default"/>
                      <w:snapToGrid w:val="0"/>
                      <w:color w:val="auto"/>
                      <w:kern w:val="0"/>
                      <w:sz w:val="18"/>
                      <w:szCs w:val="18"/>
                      <w:lang w:val="en-US" w:eastAsia="zh-CN"/>
                    </w:rPr>
                  </w:pPr>
                  <w:r>
                    <w:rPr>
                      <w:rFonts w:hint="eastAsia"/>
                      <w:snapToGrid w:val="0"/>
                      <w:color w:val="auto"/>
                      <w:kern w:val="0"/>
                      <w:sz w:val="18"/>
                      <w:szCs w:val="18"/>
                      <w:lang w:val="en-US" w:eastAsia="zh-CN"/>
                    </w:rPr>
                    <w:t>1t/a</w:t>
                  </w:r>
                </w:p>
              </w:tc>
              <w:tc>
                <w:tcPr>
                  <w:tcW w:w="885" w:type="dxa"/>
                  <w:noWrap w:val="0"/>
                  <w:vAlign w:val="center"/>
                </w:tcPr>
                <w:p>
                  <w:pPr>
                    <w:jc w:val="center"/>
                    <w:rPr>
                      <w:snapToGrid w:val="0"/>
                      <w:color w:val="auto"/>
                      <w:kern w:val="0"/>
                      <w:sz w:val="18"/>
                      <w:szCs w:val="18"/>
                    </w:rPr>
                  </w:pPr>
                  <w:r>
                    <w:rPr>
                      <w:snapToGrid w:val="0"/>
                      <w:color w:val="auto"/>
                      <w:kern w:val="0"/>
                      <w:sz w:val="18"/>
                      <w:szCs w:val="18"/>
                    </w:rPr>
                    <w:t>√</w:t>
                  </w:r>
                </w:p>
              </w:tc>
              <w:tc>
                <w:tcPr>
                  <w:tcW w:w="915"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w:t>
                  </w:r>
                </w:p>
              </w:tc>
              <w:tc>
                <w:tcPr>
                  <w:tcW w:w="1087" w:type="dxa"/>
                  <w:vMerge w:val="continue"/>
                  <w:noWrap w:val="0"/>
                  <w:vAlign w:val="center"/>
                </w:tcPr>
                <w:p>
                  <w:pPr>
                    <w:autoSpaceDE w:val="0"/>
                    <w:autoSpaceDN w:val="0"/>
                    <w:snapToGrid w:val="0"/>
                    <w:jc w:val="center"/>
                    <w:rPr>
                      <w:rFonts w:hint="eastAsia"/>
                      <w:snapToGrid w:val="0"/>
                      <w:color w:val="auto"/>
                      <w:kern w:val="0"/>
                      <w:sz w:val="18"/>
                      <w:szCs w:val="18"/>
                    </w:rPr>
                  </w:pPr>
                </w:p>
              </w:tc>
            </w:tr>
          </w:tbl>
          <w:p>
            <w:pPr>
              <w:adjustRightInd w:val="0"/>
              <w:snapToGrid w:val="0"/>
              <w:spacing w:line="500" w:lineRule="exact"/>
              <w:ind w:firstLine="420" w:firstLineChars="200"/>
              <w:rPr>
                <w:rFonts w:hint="eastAsia"/>
                <w:bCs/>
                <w:color w:val="auto"/>
                <w:szCs w:val="21"/>
              </w:rPr>
            </w:pPr>
            <w:r>
              <w:rPr>
                <w:rFonts w:hint="eastAsia"/>
                <w:bCs/>
                <w:color w:val="auto"/>
                <w:szCs w:val="21"/>
                <w:lang w:val="en-US" w:eastAsia="zh-CN"/>
              </w:rPr>
              <w:t>2）</w:t>
            </w:r>
            <w:r>
              <w:rPr>
                <w:rFonts w:hint="eastAsia"/>
                <w:bCs/>
                <w:color w:val="auto"/>
                <w:szCs w:val="21"/>
              </w:rPr>
              <w:t>固体废物产生情况汇总</w:t>
            </w:r>
          </w:p>
          <w:p>
            <w:pPr>
              <w:keepNext w:val="0"/>
              <w:keepLines w:val="0"/>
              <w:pageBreakBefore w:val="0"/>
              <w:widowControl w:val="0"/>
              <w:kinsoku/>
              <w:wordWrap/>
              <w:overflowPunct/>
              <w:topLinePunct w:val="0"/>
              <w:bidi w:val="0"/>
              <w:adjustRightInd w:val="0"/>
              <w:snapToGrid w:val="0"/>
              <w:spacing w:line="500" w:lineRule="exact"/>
              <w:ind w:firstLine="420" w:firstLineChars="200"/>
              <w:textAlignment w:val="auto"/>
              <w:rPr>
                <w:rFonts w:hint="eastAsia"/>
                <w:bCs/>
                <w:color w:val="auto"/>
                <w:szCs w:val="21"/>
              </w:rPr>
            </w:pPr>
            <w:r>
              <w:rPr>
                <w:rFonts w:hint="eastAsia"/>
                <w:bCs/>
                <w:color w:val="auto"/>
                <w:szCs w:val="21"/>
              </w:rPr>
              <w:t>项目运营期产生的固体废物的名称、类别、属性和数量等情况如下表4-</w:t>
            </w:r>
            <w:r>
              <w:rPr>
                <w:rFonts w:hint="eastAsia"/>
                <w:bCs/>
                <w:color w:val="auto"/>
                <w:szCs w:val="21"/>
                <w:lang w:val="en-US" w:eastAsia="zh-CN"/>
              </w:rPr>
              <w:t>16</w:t>
            </w:r>
            <w:r>
              <w:rPr>
                <w:rFonts w:hint="eastAsia"/>
                <w:bCs/>
                <w:color w:val="auto"/>
                <w:szCs w:val="21"/>
              </w:rPr>
              <w:t>所示。</w:t>
            </w:r>
          </w:p>
          <w:p>
            <w:pPr>
              <w:keepNext w:val="0"/>
              <w:keepLines w:val="0"/>
              <w:pageBreakBefore w:val="0"/>
              <w:widowControl w:val="0"/>
              <w:kinsoku/>
              <w:wordWrap/>
              <w:overflowPunct/>
              <w:topLinePunct w:val="0"/>
              <w:autoSpaceDE w:val="0"/>
              <w:autoSpaceDN w:val="0"/>
              <w:bidi w:val="0"/>
              <w:adjustRightInd/>
              <w:snapToGrid w:val="0"/>
              <w:spacing w:line="500" w:lineRule="exact"/>
              <w:jc w:val="center"/>
              <w:textAlignment w:val="auto"/>
              <w:rPr>
                <w:b/>
                <w:snapToGrid w:val="0"/>
                <w:color w:val="auto"/>
                <w:kern w:val="0"/>
                <w:szCs w:val="21"/>
              </w:rPr>
            </w:pPr>
            <w:r>
              <w:rPr>
                <w:b/>
                <w:snapToGrid w:val="0"/>
                <w:color w:val="auto"/>
                <w:kern w:val="0"/>
                <w:szCs w:val="21"/>
              </w:rPr>
              <w:t>表</w:t>
            </w:r>
            <w:r>
              <w:rPr>
                <w:rFonts w:hint="eastAsia"/>
                <w:b/>
                <w:snapToGrid w:val="0"/>
                <w:color w:val="auto"/>
                <w:kern w:val="0"/>
                <w:szCs w:val="21"/>
              </w:rPr>
              <w:t>4-</w:t>
            </w:r>
            <w:r>
              <w:rPr>
                <w:rFonts w:hint="eastAsia"/>
                <w:b/>
                <w:snapToGrid w:val="0"/>
                <w:color w:val="auto"/>
                <w:kern w:val="0"/>
                <w:szCs w:val="21"/>
                <w:lang w:val="en-US" w:eastAsia="zh-CN"/>
              </w:rPr>
              <w:t xml:space="preserve">16 </w:t>
            </w:r>
            <w:r>
              <w:rPr>
                <w:b/>
                <w:snapToGrid w:val="0"/>
                <w:color w:val="auto"/>
                <w:kern w:val="0"/>
                <w:szCs w:val="21"/>
              </w:rPr>
              <w:t>运营期固体废物分析结果汇总表</w:t>
            </w:r>
          </w:p>
          <w:tbl>
            <w:tblPr>
              <w:tblStyle w:val="11"/>
              <w:tblW w:w="753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68"/>
              <w:gridCol w:w="965"/>
              <w:gridCol w:w="1095"/>
              <w:gridCol w:w="609"/>
              <w:gridCol w:w="531"/>
              <w:gridCol w:w="564"/>
              <w:gridCol w:w="803"/>
              <w:gridCol w:w="658"/>
              <w:gridCol w:w="570"/>
              <w:gridCol w:w="779"/>
              <w:gridCol w:w="106"/>
              <w:gridCol w:w="5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66" w:hRule="atLeast"/>
                <w:jc w:val="center"/>
              </w:trPr>
              <w:tc>
                <w:tcPr>
                  <w:tcW w:w="268"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序号</w:t>
                  </w:r>
                </w:p>
              </w:tc>
              <w:tc>
                <w:tcPr>
                  <w:tcW w:w="965"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固废</w:t>
                  </w:r>
                </w:p>
                <w:p>
                  <w:pPr>
                    <w:autoSpaceDE w:val="0"/>
                    <w:autoSpaceDN w:val="0"/>
                    <w:snapToGrid w:val="0"/>
                    <w:jc w:val="center"/>
                    <w:rPr>
                      <w:b/>
                      <w:bCs/>
                      <w:snapToGrid w:val="0"/>
                      <w:color w:val="auto"/>
                      <w:kern w:val="0"/>
                      <w:sz w:val="18"/>
                      <w:szCs w:val="18"/>
                    </w:rPr>
                  </w:pPr>
                  <w:r>
                    <w:rPr>
                      <w:b/>
                      <w:bCs/>
                      <w:snapToGrid w:val="0"/>
                      <w:color w:val="auto"/>
                      <w:kern w:val="0"/>
                      <w:sz w:val="18"/>
                      <w:szCs w:val="18"/>
                    </w:rPr>
                    <w:t>名称</w:t>
                  </w:r>
                </w:p>
              </w:tc>
              <w:tc>
                <w:tcPr>
                  <w:tcW w:w="1095" w:type="dxa"/>
                  <w:noWrap w:val="0"/>
                  <w:vAlign w:val="center"/>
                </w:tcPr>
                <w:p>
                  <w:pPr>
                    <w:autoSpaceDE w:val="0"/>
                    <w:autoSpaceDN w:val="0"/>
                    <w:snapToGrid w:val="0"/>
                    <w:rPr>
                      <w:b/>
                      <w:bCs/>
                      <w:snapToGrid w:val="0"/>
                      <w:color w:val="auto"/>
                      <w:kern w:val="0"/>
                      <w:sz w:val="18"/>
                      <w:szCs w:val="18"/>
                    </w:rPr>
                  </w:pPr>
                  <w:r>
                    <w:rPr>
                      <w:b/>
                      <w:bCs/>
                      <w:snapToGrid w:val="0"/>
                      <w:color w:val="auto"/>
                      <w:kern w:val="0"/>
                      <w:sz w:val="18"/>
                      <w:szCs w:val="18"/>
                    </w:rPr>
                    <w:t>属性（危险废物、一般工业固体废物或待鉴别）</w:t>
                  </w:r>
                </w:p>
              </w:tc>
              <w:tc>
                <w:tcPr>
                  <w:tcW w:w="609"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产生</w:t>
                  </w:r>
                </w:p>
                <w:p>
                  <w:pPr>
                    <w:autoSpaceDE w:val="0"/>
                    <w:autoSpaceDN w:val="0"/>
                    <w:snapToGrid w:val="0"/>
                    <w:jc w:val="center"/>
                    <w:rPr>
                      <w:b/>
                      <w:bCs/>
                      <w:snapToGrid w:val="0"/>
                      <w:color w:val="auto"/>
                      <w:kern w:val="0"/>
                      <w:sz w:val="18"/>
                      <w:szCs w:val="18"/>
                    </w:rPr>
                  </w:pPr>
                  <w:r>
                    <w:rPr>
                      <w:b/>
                      <w:bCs/>
                      <w:snapToGrid w:val="0"/>
                      <w:color w:val="auto"/>
                      <w:kern w:val="0"/>
                      <w:sz w:val="18"/>
                      <w:szCs w:val="18"/>
                    </w:rPr>
                    <w:t>工序</w:t>
                  </w:r>
                </w:p>
              </w:tc>
              <w:tc>
                <w:tcPr>
                  <w:tcW w:w="531"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形态</w:t>
                  </w:r>
                </w:p>
              </w:tc>
              <w:tc>
                <w:tcPr>
                  <w:tcW w:w="564"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主要</w:t>
                  </w:r>
                </w:p>
                <w:p>
                  <w:pPr>
                    <w:autoSpaceDE w:val="0"/>
                    <w:autoSpaceDN w:val="0"/>
                    <w:snapToGrid w:val="0"/>
                    <w:jc w:val="center"/>
                    <w:rPr>
                      <w:b/>
                      <w:bCs/>
                      <w:snapToGrid w:val="0"/>
                      <w:color w:val="auto"/>
                      <w:kern w:val="0"/>
                      <w:sz w:val="18"/>
                      <w:szCs w:val="18"/>
                    </w:rPr>
                  </w:pPr>
                  <w:r>
                    <w:rPr>
                      <w:b/>
                      <w:bCs/>
                      <w:snapToGrid w:val="0"/>
                      <w:color w:val="auto"/>
                      <w:kern w:val="0"/>
                      <w:sz w:val="18"/>
                      <w:szCs w:val="18"/>
                    </w:rPr>
                    <w:t>成分</w:t>
                  </w:r>
                </w:p>
              </w:tc>
              <w:tc>
                <w:tcPr>
                  <w:tcW w:w="803"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危险特性鉴别方法</w:t>
                  </w:r>
                </w:p>
              </w:tc>
              <w:tc>
                <w:tcPr>
                  <w:tcW w:w="658"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危险</w:t>
                  </w:r>
                </w:p>
                <w:p>
                  <w:pPr>
                    <w:autoSpaceDE w:val="0"/>
                    <w:autoSpaceDN w:val="0"/>
                    <w:snapToGrid w:val="0"/>
                    <w:jc w:val="center"/>
                    <w:rPr>
                      <w:b/>
                      <w:bCs/>
                      <w:snapToGrid w:val="0"/>
                      <w:color w:val="auto"/>
                      <w:kern w:val="0"/>
                      <w:sz w:val="18"/>
                      <w:szCs w:val="18"/>
                    </w:rPr>
                  </w:pPr>
                  <w:r>
                    <w:rPr>
                      <w:b/>
                      <w:bCs/>
                      <w:snapToGrid w:val="0"/>
                      <w:color w:val="auto"/>
                      <w:kern w:val="0"/>
                      <w:sz w:val="18"/>
                      <w:szCs w:val="18"/>
                    </w:rPr>
                    <w:t>特性</w:t>
                  </w:r>
                </w:p>
              </w:tc>
              <w:tc>
                <w:tcPr>
                  <w:tcW w:w="570"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废物</w:t>
                  </w:r>
                </w:p>
                <w:p>
                  <w:pPr>
                    <w:autoSpaceDE w:val="0"/>
                    <w:autoSpaceDN w:val="0"/>
                    <w:snapToGrid w:val="0"/>
                    <w:jc w:val="center"/>
                    <w:rPr>
                      <w:b/>
                      <w:bCs/>
                      <w:snapToGrid w:val="0"/>
                      <w:color w:val="auto"/>
                      <w:kern w:val="0"/>
                      <w:sz w:val="18"/>
                      <w:szCs w:val="18"/>
                    </w:rPr>
                  </w:pPr>
                  <w:r>
                    <w:rPr>
                      <w:b/>
                      <w:bCs/>
                      <w:snapToGrid w:val="0"/>
                      <w:color w:val="auto"/>
                      <w:kern w:val="0"/>
                      <w:sz w:val="18"/>
                      <w:szCs w:val="18"/>
                    </w:rPr>
                    <w:t>类别</w:t>
                  </w:r>
                </w:p>
              </w:tc>
              <w:tc>
                <w:tcPr>
                  <w:tcW w:w="779"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废物</w:t>
                  </w:r>
                </w:p>
                <w:p>
                  <w:pPr>
                    <w:autoSpaceDE w:val="0"/>
                    <w:autoSpaceDN w:val="0"/>
                    <w:snapToGrid w:val="0"/>
                    <w:jc w:val="center"/>
                    <w:rPr>
                      <w:b/>
                      <w:bCs/>
                      <w:snapToGrid w:val="0"/>
                      <w:color w:val="auto"/>
                      <w:kern w:val="0"/>
                      <w:sz w:val="18"/>
                      <w:szCs w:val="18"/>
                    </w:rPr>
                  </w:pPr>
                  <w:r>
                    <w:rPr>
                      <w:b/>
                      <w:bCs/>
                      <w:snapToGrid w:val="0"/>
                      <w:color w:val="auto"/>
                      <w:kern w:val="0"/>
                      <w:sz w:val="18"/>
                      <w:szCs w:val="18"/>
                    </w:rPr>
                    <w:t>代码</w:t>
                  </w:r>
                </w:p>
              </w:tc>
              <w:tc>
                <w:tcPr>
                  <w:tcW w:w="692" w:type="dxa"/>
                  <w:gridSpan w:val="2"/>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估算</w:t>
                  </w:r>
                </w:p>
                <w:p>
                  <w:pPr>
                    <w:autoSpaceDE w:val="0"/>
                    <w:autoSpaceDN w:val="0"/>
                    <w:snapToGrid w:val="0"/>
                    <w:jc w:val="center"/>
                    <w:rPr>
                      <w:b/>
                      <w:bCs/>
                      <w:snapToGrid w:val="0"/>
                      <w:color w:val="auto"/>
                      <w:kern w:val="0"/>
                      <w:sz w:val="18"/>
                      <w:szCs w:val="18"/>
                    </w:rPr>
                  </w:pPr>
                  <w:r>
                    <w:rPr>
                      <w:b/>
                      <w:bCs/>
                      <w:snapToGrid w:val="0"/>
                      <w:color w:val="auto"/>
                      <w:kern w:val="0"/>
                      <w:sz w:val="18"/>
                      <w:szCs w:val="18"/>
                    </w:rPr>
                    <w:t>产生量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68" w:type="dxa"/>
                  <w:noWrap w:val="0"/>
                  <w:vAlign w:val="center"/>
                </w:tcPr>
                <w:p>
                  <w:pPr>
                    <w:autoSpaceDE w:val="0"/>
                    <w:autoSpaceDN w:val="0"/>
                    <w:snapToGrid w:val="0"/>
                    <w:jc w:val="center"/>
                    <w:rPr>
                      <w:rFonts w:hint="eastAsia"/>
                      <w:snapToGrid w:val="0"/>
                      <w:color w:val="auto"/>
                      <w:kern w:val="0"/>
                      <w:sz w:val="18"/>
                      <w:szCs w:val="18"/>
                    </w:rPr>
                  </w:pPr>
                  <w:r>
                    <w:rPr>
                      <w:rFonts w:hint="eastAsia"/>
                      <w:snapToGrid w:val="0"/>
                      <w:color w:val="auto"/>
                      <w:kern w:val="0"/>
                      <w:sz w:val="18"/>
                      <w:szCs w:val="18"/>
                      <w:lang w:val="en-US" w:eastAsia="zh-CN"/>
                    </w:rPr>
                    <w:t>1</w:t>
                  </w:r>
                </w:p>
              </w:tc>
              <w:tc>
                <w:tcPr>
                  <w:tcW w:w="965" w:type="dxa"/>
                  <w:noWrap w:val="0"/>
                  <w:vAlign w:val="center"/>
                </w:tcPr>
                <w:p>
                  <w:pPr>
                    <w:jc w:val="center"/>
                    <w:rPr>
                      <w:rFonts w:hint="eastAsia"/>
                      <w:color w:val="auto"/>
                      <w:sz w:val="18"/>
                      <w:szCs w:val="18"/>
                      <w:lang w:val="en-US" w:eastAsia="zh-CN"/>
                    </w:rPr>
                  </w:pPr>
                  <w:r>
                    <w:rPr>
                      <w:rFonts w:hint="eastAsia" w:cs="Times New Roman"/>
                      <w:color w:val="auto"/>
                      <w:sz w:val="18"/>
                      <w:szCs w:val="18"/>
                      <w:lang w:val="en-US" w:eastAsia="zh-CN"/>
                    </w:rPr>
                    <w:t>废纱</w:t>
                  </w:r>
                </w:p>
              </w:tc>
              <w:tc>
                <w:tcPr>
                  <w:tcW w:w="1095" w:type="dxa"/>
                  <w:noWrap w:val="0"/>
                  <w:vAlign w:val="center"/>
                </w:tcPr>
                <w:p>
                  <w:pPr>
                    <w:autoSpaceDE w:val="0"/>
                    <w:autoSpaceDN w:val="0"/>
                    <w:snapToGrid w:val="0"/>
                    <w:jc w:val="center"/>
                    <w:rPr>
                      <w:snapToGrid w:val="0"/>
                      <w:color w:val="auto"/>
                      <w:kern w:val="0"/>
                      <w:sz w:val="18"/>
                      <w:szCs w:val="18"/>
                    </w:rPr>
                  </w:pPr>
                  <w:r>
                    <w:rPr>
                      <w:snapToGrid w:val="0"/>
                      <w:kern w:val="0"/>
                      <w:sz w:val="18"/>
                      <w:szCs w:val="18"/>
                    </w:rPr>
                    <w:t>一般固体废物</w:t>
                  </w:r>
                </w:p>
              </w:tc>
              <w:tc>
                <w:tcPr>
                  <w:tcW w:w="609"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倒毛、织片</w:t>
                  </w:r>
                </w:p>
              </w:tc>
              <w:tc>
                <w:tcPr>
                  <w:tcW w:w="531"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snapToGrid w:val="0"/>
                      <w:color w:val="auto"/>
                      <w:kern w:val="0"/>
                      <w:sz w:val="18"/>
                      <w:szCs w:val="18"/>
                    </w:rPr>
                    <w:t>固</w:t>
                  </w:r>
                </w:p>
              </w:tc>
              <w:tc>
                <w:tcPr>
                  <w:tcW w:w="564"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毛、棉、化纤</w:t>
                  </w:r>
                </w:p>
              </w:tc>
              <w:tc>
                <w:tcPr>
                  <w:tcW w:w="803" w:type="dxa"/>
                  <w:vMerge w:val="restart"/>
                  <w:noWrap w:val="0"/>
                  <w:vAlign w:val="center"/>
                </w:tcPr>
                <w:p>
                  <w:pPr>
                    <w:autoSpaceDE w:val="0"/>
                    <w:autoSpaceDN w:val="0"/>
                    <w:snapToGrid w:val="0"/>
                    <w:jc w:val="both"/>
                    <w:rPr>
                      <w:snapToGrid w:val="0"/>
                      <w:color w:val="auto"/>
                      <w:kern w:val="0"/>
                      <w:sz w:val="18"/>
                      <w:szCs w:val="18"/>
                    </w:rPr>
                  </w:pPr>
                  <w:r>
                    <w:rPr>
                      <w:rFonts w:hint="eastAsia"/>
                      <w:snapToGrid w:val="0"/>
                      <w:kern w:val="0"/>
                      <w:sz w:val="18"/>
                      <w:szCs w:val="18"/>
                    </w:rPr>
                    <w:t>《一般固体废物分类与代码》（GB/T39198-2020</w:t>
                  </w:r>
                </w:p>
              </w:tc>
              <w:tc>
                <w:tcPr>
                  <w:tcW w:w="658"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w:t>
                  </w:r>
                </w:p>
              </w:tc>
              <w:tc>
                <w:tcPr>
                  <w:tcW w:w="570" w:type="dxa"/>
                  <w:noWrap w:val="0"/>
                  <w:vAlign w:val="center"/>
                </w:tcPr>
                <w:p>
                  <w:pPr>
                    <w:autoSpaceDE w:val="0"/>
                    <w:autoSpaceDN w:val="0"/>
                    <w:snapToGrid w:val="0"/>
                    <w:jc w:val="center"/>
                    <w:rPr>
                      <w:rFonts w:hint="default" w:eastAsia="宋体"/>
                      <w:snapToGrid w:val="0"/>
                      <w:color w:val="auto"/>
                      <w:kern w:val="0"/>
                      <w:sz w:val="18"/>
                      <w:szCs w:val="18"/>
                      <w:lang w:val="en-US" w:eastAsia="zh-CN"/>
                    </w:rPr>
                  </w:pPr>
                  <w:r>
                    <w:rPr>
                      <w:rFonts w:hint="eastAsia"/>
                      <w:snapToGrid w:val="0"/>
                      <w:kern w:val="0"/>
                      <w:sz w:val="18"/>
                      <w:szCs w:val="18"/>
                      <w:lang w:val="en-US" w:eastAsia="zh-CN"/>
                    </w:rPr>
                    <w:t>SW17</w:t>
                  </w:r>
                </w:p>
              </w:tc>
              <w:tc>
                <w:tcPr>
                  <w:tcW w:w="885" w:type="dxa"/>
                  <w:gridSpan w:val="2"/>
                  <w:noWrap w:val="0"/>
                  <w:vAlign w:val="center"/>
                </w:tcPr>
                <w:p>
                  <w:pPr>
                    <w:autoSpaceDE w:val="0"/>
                    <w:autoSpaceDN w:val="0"/>
                    <w:snapToGrid w:val="0"/>
                    <w:jc w:val="center"/>
                    <w:rPr>
                      <w:rFonts w:hint="default" w:eastAsia="宋体"/>
                      <w:snapToGrid w:val="0"/>
                      <w:color w:val="auto"/>
                      <w:kern w:val="0"/>
                      <w:sz w:val="18"/>
                      <w:szCs w:val="18"/>
                      <w:lang w:val="en-US" w:eastAsia="zh-CN"/>
                    </w:rPr>
                  </w:pPr>
                  <w:r>
                    <w:rPr>
                      <w:rFonts w:hint="eastAsia"/>
                      <w:snapToGrid w:val="0"/>
                      <w:kern w:val="0"/>
                      <w:sz w:val="18"/>
                      <w:szCs w:val="18"/>
                      <w:lang w:val="en-US" w:eastAsia="zh-CN"/>
                    </w:rPr>
                    <w:t>900-007-S17</w:t>
                  </w:r>
                </w:p>
              </w:tc>
              <w:tc>
                <w:tcPr>
                  <w:tcW w:w="586"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2</w:t>
                  </w:r>
                  <w:r>
                    <w:rPr>
                      <w:snapToGrid w:val="0"/>
                      <w:color w:val="auto"/>
                      <w:kern w:val="0"/>
                      <w:sz w:val="18"/>
                      <w:szCs w:val="18"/>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68"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2</w:t>
                  </w:r>
                </w:p>
              </w:tc>
              <w:tc>
                <w:tcPr>
                  <w:tcW w:w="965" w:type="dxa"/>
                  <w:noWrap w:val="0"/>
                  <w:vAlign w:val="center"/>
                </w:tcPr>
                <w:p>
                  <w:pPr>
                    <w:jc w:val="center"/>
                    <w:rPr>
                      <w:rFonts w:hint="eastAsia"/>
                      <w:color w:val="auto"/>
                      <w:sz w:val="18"/>
                      <w:szCs w:val="18"/>
                    </w:rPr>
                  </w:pPr>
                  <w:r>
                    <w:rPr>
                      <w:rFonts w:hint="eastAsia"/>
                      <w:color w:val="auto"/>
                      <w:sz w:val="18"/>
                      <w:szCs w:val="18"/>
                      <w:lang w:val="en-US" w:eastAsia="zh-CN"/>
                    </w:rPr>
                    <w:t>不合格品</w:t>
                  </w:r>
                </w:p>
              </w:tc>
              <w:tc>
                <w:tcPr>
                  <w:tcW w:w="1095" w:type="dxa"/>
                  <w:noWrap w:val="0"/>
                  <w:vAlign w:val="center"/>
                </w:tcPr>
                <w:p>
                  <w:pPr>
                    <w:autoSpaceDE w:val="0"/>
                    <w:autoSpaceDN w:val="0"/>
                    <w:snapToGrid w:val="0"/>
                    <w:jc w:val="center"/>
                    <w:rPr>
                      <w:snapToGrid w:val="0"/>
                      <w:color w:val="auto"/>
                      <w:kern w:val="0"/>
                      <w:sz w:val="18"/>
                      <w:szCs w:val="18"/>
                    </w:rPr>
                  </w:pPr>
                  <w:r>
                    <w:rPr>
                      <w:snapToGrid w:val="0"/>
                      <w:kern w:val="0"/>
                      <w:sz w:val="18"/>
                      <w:szCs w:val="18"/>
                    </w:rPr>
                    <w:t>一般固体废物</w:t>
                  </w:r>
                </w:p>
              </w:tc>
              <w:tc>
                <w:tcPr>
                  <w:tcW w:w="609" w:type="dxa"/>
                  <w:noWrap w:val="0"/>
                  <w:vAlign w:val="center"/>
                </w:tcPr>
                <w:p>
                  <w:pPr>
                    <w:jc w:val="center"/>
                    <w:rPr>
                      <w:rFonts w:hint="eastAsia"/>
                      <w:color w:val="auto"/>
                      <w:sz w:val="18"/>
                      <w:szCs w:val="18"/>
                    </w:rPr>
                  </w:pPr>
                  <w:r>
                    <w:rPr>
                      <w:rFonts w:hint="eastAsia"/>
                      <w:color w:val="auto"/>
                      <w:sz w:val="18"/>
                      <w:szCs w:val="18"/>
                      <w:lang w:val="en-US" w:eastAsia="zh-CN"/>
                    </w:rPr>
                    <w:t>总检</w:t>
                  </w:r>
                </w:p>
              </w:tc>
              <w:tc>
                <w:tcPr>
                  <w:tcW w:w="531" w:type="dxa"/>
                  <w:noWrap w:val="0"/>
                  <w:vAlign w:val="center"/>
                </w:tcPr>
                <w:p>
                  <w:pPr>
                    <w:autoSpaceDE w:val="0"/>
                    <w:autoSpaceDN w:val="0"/>
                    <w:snapToGrid w:val="0"/>
                    <w:jc w:val="center"/>
                    <w:rPr>
                      <w:snapToGrid w:val="0"/>
                      <w:color w:val="auto"/>
                      <w:kern w:val="0"/>
                      <w:sz w:val="18"/>
                      <w:szCs w:val="18"/>
                    </w:rPr>
                  </w:pPr>
                  <w:r>
                    <w:rPr>
                      <w:snapToGrid w:val="0"/>
                      <w:color w:val="auto"/>
                      <w:kern w:val="0"/>
                      <w:sz w:val="18"/>
                      <w:szCs w:val="18"/>
                    </w:rPr>
                    <w:t>固</w:t>
                  </w:r>
                </w:p>
              </w:tc>
              <w:tc>
                <w:tcPr>
                  <w:tcW w:w="564" w:type="dxa"/>
                  <w:noWrap w:val="0"/>
                  <w:vAlign w:val="center"/>
                </w:tcPr>
                <w:p>
                  <w:pPr>
                    <w:jc w:val="center"/>
                    <w:rPr>
                      <w:rFonts w:hint="eastAsia"/>
                      <w:color w:val="auto"/>
                      <w:sz w:val="18"/>
                      <w:szCs w:val="18"/>
                    </w:rPr>
                  </w:pPr>
                  <w:r>
                    <w:rPr>
                      <w:rFonts w:hint="eastAsia"/>
                      <w:color w:val="auto"/>
                      <w:sz w:val="18"/>
                      <w:szCs w:val="18"/>
                      <w:lang w:val="en-US" w:eastAsia="zh-CN"/>
                    </w:rPr>
                    <w:t>毛、棉、化纤</w:t>
                  </w:r>
                </w:p>
              </w:tc>
              <w:tc>
                <w:tcPr>
                  <w:tcW w:w="803" w:type="dxa"/>
                  <w:vMerge w:val="continue"/>
                  <w:noWrap w:val="0"/>
                  <w:vAlign w:val="center"/>
                </w:tcPr>
                <w:p>
                  <w:pPr>
                    <w:autoSpaceDE w:val="0"/>
                    <w:autoSpaceDN w:val="0"/>
                    <w:snapToGrid w:val="0"/>
                    <w:jc w:val="center"/>
                    <w:rPr>
                      <w:snapToGrid w:val="0"/>
                      <w:color w:val="auto"/>
                      <w:kern w:val="0"/>
                      <w:sz w:val="18"/>
                      <w:szCs w:val="18"/>
                    </w:rPr>
                  </w:pPr>
                </w:p>
              </w:tc>
              <w:tc>
                <w:tcPr>
                  <w:tcW w:w="658" w:type="dxa"/>
                  <w:noWrap w:val="0"/>
                  <w:vAlign w:val="center"/>
                </w:tcPr>
                <w:p>
                  <w:pPr>
                    <w:autoSpaceDE w:val="0"/>
                    <w:autoSpaceDN w:val="0"/>
                    <w:snapToGrid w:val="0"/>
                    <w:jc w:val="center"/>
                    <w:rPr>
                      <w:rFonts w:hint="default" w:eastAsia="宋体"/>
                      <w:snapToGrid w:val="0"/>
                      <w:color w:val="auto"/>
                      <w:kern w:val="0"/>
                      <w:sz w:val="18"/>
                      <w:szCs w:val="18"/>
                      <w:lang w:val="en-US" w:eastAsia="zh-CN"/>
                    </w:rPr>
                  </w:pPr>
                  <w:r>
                    <w:rPr>
                      <w:rFonts w:hint="eastAsia"/>
                      <w:snapToGrid w:val="0"/>
                      <w:color w:val="auto"/>
                      <w:kern w:val="0"/>
                      <w:sz w:val="18"/>
                      <w:szCs w:val="18"/>
                      <w:lang w:val="en-US" w:eastAsia="zh-CN"/>
                    </w:rPr>
                    <w:t>/</w:t>
                  </w:r>
                </w:p>
              </w:tc>
              <w:tc>
                <w:tcPr>
                  <w:tcW w:w="570" w:type="dxa"/>
                  <w:noWrap w:val="0"/>
                  <w:vAlign w:val="center"/>
                </w:tcPr>
                <w:p>
                  <w:pPr>
                    <w:autoSpaceDE w:val="0"/>
                    <w:autoSpaceDN w:val="0"/>
                    <w:snapToGrid w:val="0"/>
                    <w:jc w:val="center"/>
                    <w:rPr>
                      <w:rFonts w:hint="default" w:eastAsia="宋体"/>
                      <w:snapToGrid w:val="0"/>
                      <w:color w:val="auto"/>
                      <w:kern w:val="0"/>
                      <w:sz w:val="18"/>
                      <w:szCs w:val="18"/>
                      <w:lang w:val="en-US" w:eastAsia="zh-CN"/>
                    </w:rPr>
                  </w:pPr>
                  <w:r>
                    <w:rPr>
                      <w:rFonts w:hint="eastAsia"/>
                      <w:snapToGrid w:val="0"/>
                      <w:kern w:val="0"/>
                      <w:sz w:val="18"/>
                      <w:szCs w:val="18"/>
                      <w:lang w:val="en-US" w:eastAsia="zh-CN"/>
                    </w:rPr>
                    <w:t>SW17</w:t>
                  </w:r>
                </w:p>
              </w:tc>
              <w:tc>
                <w:tcPr>
                  <w:tcW w:w="885" w:type="dxa"/>
                  <w:gridSpan w:val="2"/>
                  <w:noWrap w:val="0"/>
                  <w:vAlign w:val="center"/>
                </w:tcPr>
                <w:p>
                  <w:pPr>
                    <w:autoSpaceDE w:val="0"/>
                    <w:autoSpaceDN w:val="0"/>
                    <w:snapToGrid w:val="0"/>
                    <w:jc w:val="center"/>
                    <w:rPr>
                      <w:rFonts w:hint="default" w:eastAsia="宋体"/>
                      <w:snapToGrid w:val="0"/>
                      <w:color w:val="auto"/>
                      <w:kern w:val="0"/>
                      <w:sz w:val="18"/>
                      <w:szCs w:val="18"/>
                      <w:lang w:val="en-US" w:eastAsia="zh-CN"/>
                    </w:rPr>
                  </w:pPr>
                  <w:r>
                    <w:rPr>
                      <w:rFonts w:hint="eastAsia"/>
                      <w:snapToGrid w:val="0"/>
                      <w:kern w:val="0"/>
                      <w:sz w:val="18"/>
                      <w:szCs w:val="18"/>
                      <w:lang w:val="en-US" w:eastAsia="zh-CN"/>
                    </w:rPr>
                    <w:t>900-007-S17</w:t>
                  </w:r>
                </w:p>
              </w:tc>
              <w:tc>
                <w:tcPr>
                  <w:tcW w:w="586" w:type="dxa"/>
                  <w:noWrap w:val="0"/>
                  <w:vAlign w:val="center"/>
                </w:tcPr>
                <w:p>
                  <w:pPr>
                    <w:autoSpaceDE w:val="0"/>
                    <w:autoSpaceDN w:val="0"/>
                    <w:snapToGrid w:val="0"/>
                    <w:jc w:val="center"/>
                    <w:rPr>
                      <w:rFonts w:hint="eastAsia"/>
                      <w:snapToGrid w:val="0"/>
                      <w:color w:val="auto"/>
                      <w:kern w:val="0"/>
                      <w:sz w:val="18"/>
                      <w:szCs w:val="18"/>
                    </w:rPr>
                  </w:pPr>
                  <w:r>
                    <w:rPr>
                      <w:rFonts w:hint="eastAsia"/>
                      <w:snapToGrid w:val="0"/>
                      <w:color w:val="auto"/>
                      <w:kern w:val="0"/>
                      <w:sz w:val="18"/>
                      <w:szCs w:val="18"/>
                      <w:lang w:val="en-US" w:eastAsia="zh-CN"/>
                    </w:rPr>
                    <w:t>3</w:t>
                  </w:r>
                  <w:r>
                    <w:rPr>
                      <w:snapToGrid w:val="0"/>
                      <w:color w:val="auto"/>
                      <w:kern w:val="0"/>
                      <w:sz w:val="18"/>
                      <w:szCs w:val="18"/>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68" w:type="dxa"/>
                  <w:noWrap w:val="0"/>
                  <w:vAlign w:val="center"/>
                </w:tcPr>
                <w:p>
                  <w:pPr>
                    <w:autoSpaceDE w:val="0"/>
                    <w:autoSpaceDN w:val="0"/>
                    <w:snapToGrid w:val="0"/>
                    <w:jc w:val="center"/>
                    <w:rPr>
                      <w:rFonts w:hint="default"/>
                      <w:snapToGrid w:val="0"/>
                      <w:color w:val="auto"/>
                      <w:kern w:val="0"/>
                      <w:sz w:val="18"/>
                      <w:szCs w:val="18"/>
                      <w:lang w:val="en-US" w:eastAsia="zh-CN"/>
                    </w:rPr>
                  </w:pPr>
                  <w:r>
                    <w:rPr>
                      <w:rFonts w:hint="eastAsia"/>
                      <w:snapToGrid w:val="0"/>
                      <w:color w:val="auto"/>
                      <w:kern w:val="0"/>
                      <w:sz w:val="18"/>
                      <w:szCs w:val="18"/>
                      <w:lang w:val="en-US" w:eastAsia="zh-CN"/>
                    </w:rPr>
                    <w:t>3</w:t>
                  </w:r>
                </w:p>
              </w:tc>
              <w:tc>
                <w:tcPr>
                  <w:tcW w:w="965"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废包装桶</w:t>
                  </w:r>
                </w:p>
              </w:tc>
              <w:tc>
                <w:tcPr>
                  <w:tcW w:w="1095" w:type="dxa"/>
                  <w:noWrap w:val="0"/>
                  <w:vAlign w:val="center"/>
                </w:tcPr>
                <w:p>
                  <w:pPr>
                    <w:autoSpaceDE w:val="0"/>
                    <w:autoSpaceDN w:val="0"/>
                    <w:snapToGrid w:val="0"/>
                    <w:jc w:val="center"/>
                    <w:rPr>
                      <w:rFonts w:hint="eastAsia"/>
                      <w:snapToGrid w:val="0"/>
                      <w:color w:val="auto"/>
                      <w:kern w:val="0"/>
                      <w:sz w:val="18"/>
                      <w:szCs w:val="18"/>
                      <w:lang w:eastAsia="zh-CN"/>
                    </w:rPr>
                  </w:pPr>
                  <w:r>
                    <w:rPr>
                      <w:rFonts w:hint="eastAsia"/>
                      <w:snapToGrid w:val="0"/>
                      <w:kern w:val="0"/>
                      <w:sz w:val="18"/>
                      <w:szCs w:val="18"/>
                    </w:rPr>
                    <w:t>危险废物</w:t>
                  </w:r>
                </w:p>
              </w:tc>
              <w:tc>
                <w:tcPr>
                  <w:tcW w:w="609"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原料使用</w:t>
                  </w:r>
                </w:p>
              </w:tc>
              <w:tc>
                <w:tcPr>
                  <w:tcW w:w="531" w:type="dxa"/>
                  <w:noWrap w:val="0"/>
                  <w:vAlign w:val="center"/>
                </w:tcPr>
                <w:p>
                  <w:pPr>
                    <w:autoSpaceDE w:val="0"/>
                    <w:autoSpaceDN w:val="0"/>
                    <w:snapToGrid w:val="0"/>
                    <w:jc w:val="center"/>
                    <w:rPr>
                      <w:rFonts w:hint="eastAsia"/>
                      <w:snapToGrid w:val="0"/>
                      <w:color w:val="auto"/>
                      <w:kern w:val="0"/>
                      <w:sz w:val="18"/>
                      <w:szCs w:val="18"/>
                      <w:lang w:eastAsia="zh-CN"/>
                    </w:rPr>
                  </w:pPr>
                  <w:r>
                    <w:rPr>
                      <w:snapToGrid w:val="0"/>
                      <w:color w:val="auto"/>
                      <w:kern w:val="0"/>
                      <w:sz w:val="18"/>
                      <w:szCs w:val="18"/>
                    </w:rPr>
                    <w:t>固</w:t>
                  </w:r>
                </w:p>
              </w:tc>
              <w:tc>
                <w:tcPr>
                  <w:tcW w:w="564"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洗涤剂等</w:t>
                  </w:r>
                </w:p>
              </w:tc>
              <w:tc>
                <w:tcPr>
                  <w:tcW w:w="803" w:type="dxa"/>
                  <w:vMerge w:val="restart"/>
                  <w:noWrap w:val="0"/>
                  <w:vAlign w:val="center"/>
                </w:tcPr>
                <w:p>
                  <w:pPr>
                    <w:autoSpaceDE w:val="0"/>
                    <w:autoSpaceDN w:val="0"/>
                    <w:snapToGrid w:val="0"/>
                    <w:jc w:val="center"/>
                    <w:rPr>
                      <w:snapToGrid w:val="0"/>
                      <w:color w:val="auto"/>
                      <w:kern w:val="0"/>
                      <w:sz w:val="18"/>
                      <w:szCs w:val="18"/>
                    </w:rPr>
                  </w:pPr>
                  <w:r>
                    <w:rPr>
                      <w:snapToGrid w:val="0"/>
                      <w:color w:val="auto"/>
                      <w:kern w:val="0"/>
                      <w:sz w:val="18"/>
                      <w:szCs w:val="18"/>
                    </w:rPr>
                    <w:t>《国家危险废物名录》（20</w:t>
                  </w:r>
                  <w:r>
                    <w:rPr>
                      <w:rFonts w:hint="eastAsia"/>
                      <w:snapToGrid w:val="0"/>
                      <w:color w:val="auto"/>
                      <w:kern w:val="0"/>
                      <w:sz w:val="18"/>
                      <w:szCs w:val="18"/>
                    </w:rPr>
                    <w:t>21</w:t>
                  </w:r>
                  <w:r>
                    <w:rPr>
                      <w:snapToGrid w:val="0"/>
                      <w:color w:val="auto"/>
                      <w:kern w:val="0"/>
                      <w:sz w:val="18"/>
                      <w:szCs w:val="18"/>
                    </w:rPr>
                    <w:t>年）</w:t>
                  </w:r>
                </w:p>
              </w:tc>
              <w:tc>
                <w:tcPr>
                  <w:tcW w:w="658" w:type="dxa"/>
                  <w:noWrap w:val="0"/>
                  <w:vAlign w:val="center"/>
                </w:tcPr>
                <w:p>
                  <w:pPr>
                    <w:autoSpaceDE w:val="0"/>
                    <w:autoSpaceDN w:val="0"/>
                    <w:snapToGrid w:val="0"/>
                    <w:jc w:val="center"/>
                    <w:rPr>
                      <w:rFonts w:hint="eastAsia"/>
                      <w:sz w:val="18"/>
                      <w:szCs w:val="18"/>
                    </w:rPr>
                  </w:pPr>
                  <w:r>
                    <w:rPr>
                      <w:rFonts w:hint="eastAsia"/>
                      <w:sz w:val="18"/>
                      <w:szCs w:val="18"/>
                    </w:rPr>
                    <w:t>T/In</w:t>
                  </w:r>
                </w:p>
              </w:tc>
              <w:tc>
                <w:tcPr>
                  <w:tcW w:w="570" w:type="dxa"/>
                  <w:noWrap w:val="0"/>
                  <w:vAlign w:val="center"/>
                </w:tcPr>
                <w:p>
                  <w:pPr>
                    <w:autoSpaceDE w:val="0"/>
                    <w:autoSpaceDN w:val="0"/>
                    <w:snapToGrid w:val="0"/>
                    <w:jc w:val="center"/>
                    <w:rPr>
                      <w:rFonts w:hint="eastAsia"/>
                      <w:snapToGrid w:val="0"/>
                      <w:kern w:val="0"/>
                      <w:sz w:val="18"/>
                      <w:szCs w:val="18"/>
                    </w:rPr>
                  </w:pPr>
                  <w:r>
                    <w:rPr>
                      <w:rFonts w:hint="eastAsia"/>
                      <w:snapToGrid w:val="0"/>
                      <w:color w:val="auto"/>
                      <w:kern w:val="0"/>
                      <w:sz w:val="18"/>
                      <w:szCs w:val="18"/>
                      <w:lang w:val="en-US" w:eastAsia="zh-CN"/>
                    </w:rPr>
                    <w:t>HW49</w:t>
                  </w:r>
                </w:p>
              </w:tc>
              <w:tc>
                <w:tcPr>
                  <w:tcW w:w="885" w:type="dxa"/>
                  <w:gridSpan w:val="2"/>
                  <w:noWrap w:val="0"/>
                  <w:vAlign w:val="center"/>
                </w:tcPr>
                <w:p>
                  <w:pPr>
                    <w:autoSpaceDE w:val="0"/>
                    <w:autoSpaceDN w:val="0"/>
                    <w:snapToGrid w:val="0"/>
                    <w:jc w:val="center"/>
                    <w:rPr>
                      <w:rFonts w:hint="default" w:eastAsia="宋体"/>
                      <w:snapToGrid w:val="0"/>
                      <w:kern w:val="0"/>
                      <w:sz w:val="18"/>
                      <w:szCs w:val="18"/>
                      <w:lang w:val="en-US" w:eastAsia="zh-CN"/>
                    </w:rPr>
                  </w:pPr>
                  <w:r>
                    <w:rPr>
                      <w:rFonts w:hint="eastAsia"/>
                      <w:snapToGrid w:val="0"/>
                      <w:kern w:val="0"/>
                      <w:sz w:val="18"/>
                      <w:szCs w:val="18"/>
                      <w:lang w:val="en-US" w:eastAsia="zh-CN"/>
                    </w:rPr>
                    <w:t>900-041-49</w:t>
                  </w:r>
                </w:p>
              </w:tc>
              <w:tc>
                <w:tcPr>
                  <w:tcW w:w="586"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0.24</w:t>
                  </w:r>
                  <w:r>
                    <w:rPr>
                      <w:snapToGrid w:val="0"/>
                      <w:color w:val="auto"/>
                      <w:kern w:val="0"/>
                      <w:sz w:val="18"/>
                      <w:szCs w:val="18"/>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68" w:type="dxa"/>
                  <w:noWrap w:val="0"/>
                  <w:vAlign w:val="center"/>
                </w:tcPr>
                <w:p>
                  <w:pPr>
                    <w:autoSpaceDE w:val="0"/>
                    <w:autoSpaceDN w:val="0"/>
                    <w:snapToGrid w:val="0"/>
                    <w:jc w:val="center"/>
                    <w:rPr>
                      <w:rFonts w:hint="default"/>
                      <w:snapToGrid w:val="0"/>
                      <w:color w:val="auto"/>
                      <w:kern w:val="0"/>
                      <w:sz w:val="18"/>
                      <w:szCs w:val="18"/>
                      <w:lang w:val="en-US" w:eastAsia="zh-CN"/>
                    </w:rPr>
                  </w:pPr>
                  <w:r>
                    <w:rPr>
                      <w:rFonts w:hint="eastAsia"/>
                      <w:snapToGrid w:val="0"/>
                      <w:color w:val="auto"/>
                      <w:kern w:val="0"/>
                      <w:sz w:val="18"/>
                      <w:szCs w:val="18"/>
                      <w:lang w:val="en-US" w:eastAsia="zh-CN"/>
                    </w:rPr>
                    <w:t>4</w:t>
                  </w:r>
                </w:p>
              </w:tc>
              <w:tc>
                <w:tcPr>
                  <w:tcW w:w="965"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污泥</w:t>
                  </w:r>
                </w:p>
              </w:tc>
              <w:tc>
                <w:tcPr>
                  <w:tcW w:w="1095" w:type="dxa"/>
                  <w:noWrap w:val="0"/>
                  <w:vAlign w:val="center"/>
                </w:tcPr>
                <w:p>
                  <w:pPr>
                    <w:autoSpaceDE w:val="0"/>
                    <w:autoSpaceDN w:val="0"/>
                    <w:snapToGrid w:val="0"/>
                    <w:jc w:val="center"/>
                    <w:rPr>
                      <w:rFonts w:hint="eastAsia"/>
                      <w:snapToGrid w:val="0"/>
                      <w:color w:val="auto"/>
                      <w:kern w:val="0"/>
                      <w:sz w:val="18"/>
                      <w:szCs w:val="18"/>
                      <w:lang w:eastAsia="zh-CN"/>
                    </w:rPr>
                  </w:pPr>
                  <w:r>
                    <w:rPr>
                      <w:rFonts w:hint="eastAsia"/>
                      <w:snapToGrid w:val="0"/>
                      <w:kern w:val="0"/>
                      <w:sz w:val="18"/>
                      <w:szCs w:val="18"/>
                    </w:rPr>
                    <w:t>危险废物</w:t>
                  </w:r>
                </w:p>
              </w:tc>
              <w:tc>
                <w:tcPr>
                  <w:tcW w:w="609"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废水处理</w:t>
                  </w:r>
                </w:p>
              </w:tc>
              <w:tc>
                <w:tcPr>
                  <w:tcW w:w="531" w:type="dxa"/>
                  <w:noWrap w:val="0"/>
                  <w:vAlign w:val="center"/>
                </w:tcPr>
                <w:p>
                  <w:pPr>
                    <w:autoSpaceDE w:val="0"/>
                    <w:autoSpaceDN w:val="0"/>
                    <w:snapToGrid w:val="0"/>
                    <w:jc w:val="center"/>
                    <w:rPr>
                      <w:rFonts w:hint="eastAsia"/>
                      <w:snapToGrid w:val="0"/>
                      <w:color w:val="auto"/>
                      <w:kern w:val="0"/>
                      <w:sz w:val="18"/>
                      <w:szCs w:val="18"/>
                      <w:lang w:eastAsia="zh-CN"/>
                    </w:rPr>
                  </w:pPr>
                  <w:r>
                    <w:rPr>
                      <w:rFonts w:hint="eastAsia"/>
                      <w:snapToGrid w:val="0"/>
                      <w:color w:val="auto"/>
                      <w:kern w:val="0"/>
                      <w:sz w:val="18"/>
                      <w:szCs w:val="18"/>
                      <w:lang w:eastAsia="zh-CN"/>
                    </w:rPr>
                    <w:t>半</w:t>
                  </w:r>
                  <w:r>
                    <w:rPr>
                      <w:snapToGrid w:val="0"/>
                      <w:color w:val="auto"/>
                      <w:kern w:val="0"/>
                      <w:sz w:val="18"/>
                      <w:szCs w:val="18"/>
                    </w:rPr>
                    <w:t>固</w:t>
                  </w:r>
                </w:p>
              </w:tc>
              <w:tc>
                <w:tcPr>
                  <w:tcW w:w="564" w:type="dxa"/>
                  <w:noWrap w:val="0"/>
                  <w:vAlign w:val="center"/>
                </w:tcPr>
                <w:p>
                  <w:pPr>
                    <w:jc w:val="center"/>
                    <w:rPr>
                      <w:rFonts w:hint="eastAsia"/>
                      <w:color w:val="auto"/>
                      <w:sz w:val="18"/>
                      <w:szCs w:val="18"/>
                      <w:lang w:val="en-US" w:eastAsia="zh-CN"/>
                    </w:rPr>
                  </w:pPr>
                  <w:r>
                    <w:rPr>
                      <w:rFonts w:hint="eastAsia"/>
                      <w:color w:val="auto"/>
                      <w:sz w:val="18"/>
                      <w:szCs w:val="18"/>
                      <w:lang w:eastAsia="zh-CN"/>
                    </w:rPr>
                    <w:t>污泥</w:t>
                  </w:r>
                </w:p>
              </w:tc>
              <w:tc>
                <w:tcPr>
                  <w:tcW w:w="803" w:type="dxa"/>
                  <w:vMerge w:val="continue"/>
                  <w:noWrap w:val="0"/>
                  <w:vAlign w:val="center"/>
                </w:tcPr>
                <w:p>
                  <w:pPr>
                    <w:autoSpaceDE w:val="0"/>
                    <w:autoSpaceDN w:val="0"/>
                    <w:snapToGrid w:val="0"/>
                    <w:jc w:val="center"/>
                    <w:rPr>
                      <w:snapToGrid w:val="0"/>
                      <w:color w:val="auto"/>
                      <w:kern w:val="0"/>
                      <w:sz w:val="18"/>
                      <w:szCs w:val="18"/>
                    </w:rPr>
                  </w:pPr>
                </w:p>
              </w:tc>
              <w:tc>
                <w:tcPr>
                  <w:tcW w:w="658" w:type="dxa"/>
                  <w:noWrap w:val="0"/>
                  <w:vAlign w:val="center"/>
                </w:tcPr>
                <w:p>
                  <w:pPr>
                    <w:jc w:val="center"/>
                    <w:rPr>
                      <w:rFonts w:hint="eastAsia"/>
                      <w:sz w:val="18"/>
                      <w:szCs w:val="18"/>
                    </w:rPr>
                  </w:pPr>
                  <w:r>
                    <w:rPr>
                      <w:rFonts w:hint="eastAsia"/>
                      <w:sz w:val="18"/>
                      <w:szCs w:val="18"/>
                    </w:rPr>
                    <w:t>T/In</w:t>
                  </w:r>
                </w:p>
              </w:tc>
              <w:tc>
                <w:tcPr>
                  <w:tcW w:w="570" w:type="dxa"/>
                  <w:noWrap w:val="0"/>
                  <w:vAlign w:val="center"/>
                </w:tcPr>
                <w:p>
                  <w:pPr>
                    <w:jc w:val="center"/>
                    <w:rPr>
                      <w:rFonts w:hint="default" w:eastAsia="宋体"/>
                      <w:snapToGrid w:val="0"/>
                      <w:kern w:val="0"/>
                      <w:sz w:val="18"/>
                      <w:szCs w:val="18"/>
                      <w:lang w:val="en-US" w:eastAsia="zh-CN"/>
                    </w:rPr>
                  </w:pPr>
                  <w:r>
                    <w:rPr>
                      <w:rFonts w:hint="eastAsia"/>
                      <w:sz w:val="18"/>
                      <w:szCs w:val="18"/>
                      <w:lang w:val="en-US" w:eastAsia="zh-CN"/>
                    </w:rPr>
                    <w:t>HW49</w:t>
                  </w:r>
                </w:p>
              </w:tc>
              <w:tc>
                <w:tcPr>
                  <w:tcW w:w="885" w:type="dxa"/>
                  <w:gridSpan w:val="2"/>
                  <w:noWrap w:val="0"/>
                  <w:vAlign w:val="center"/>
                </w:tcPr>
                <w:p>
                  <w:pPr>
                    <w:jc w:val="center"/>
                    <w:rPr>
                      <w:rFonts w:hint="eastAsia"/>
                      <w:snapToGrid w:val="0"/>
                      <w:kern w:val="0"/>
                      <w:sz w:val="18"/>
                      <w:szCs w:val="18"/>
                    </w:rPr>
                  </w:pPr>
                  <w:r>
                    <w:rPr>
                      <w:rFonts w:hint="eastAsia"/>
                      <w:sz w:val="18"/>
                      <w:szCs w:val="18"/>
                    </w:rPr>
                    <w:t>772-006-49</w:t>
                  </w:r>
                </w:p>
              </w:tc>
              <w:tc>
                <w:tcPr>
                  <w:tcW w:w="586"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0.75</w:t>
                  </w:r>
                  <w:r>
                    <w:rPr>
                      <w:snapToGrid w:val="0"/>
                      <w:color w:val="auto"/>
                      <w:kern w:val="0"/>
                      <w:sz w:val="18"/>
                      <w:szCs w:val="18"/>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68" w:type="dxa"/>
                  <w:noWrap w:val="0"/>
                  <w:vAlign w:val="center"/>
                </w:tcPr>
                <w:p>
                  <w:pPr>
                    <w:autoSpaceDE w:val="0"/>
                    <w:autoSpaceDN w:val="0"/>
                    <w:snapToGrid w:val="0"/>
                    <w:jc w:val="center"/>
                    <w:rPr>
                      <w:rFonts w:hint="default"/>
                      <w:snapToGrid w:val="0"/>
                      <w:color w:val="auto"/>
                      <w:kern w:val="0"/>
                      <w:sz w:val="18"/>
                      <w:szCs w:val="18"/>
                      <w:lang w:val="en-US" w:eastAsia="zh-CN"/>
                    </w:rPr>
                  </w:pPr>
                  <w:r>
                    <w:rPr>
                      <w:rFonts w:hint="eastAsia"/>
                      <w:snapToGrid w:val="0"/>
                      <w:color w:val="auto"/>
                      <w:kern w:val="0"/>
                      <w:sz w:val="18"/>
                      <w:szCs w:val="18"/>
                      <w:lang w:val="en-US" w:eastAsia="zh-CN"/>
                    </w:rPr>
                    <w:t>5</w:t>
                  </w:r>
                </w:p>
              </w:tc>
              <w:tc>
                <w:tcPr>
                  <w:tcW w:w="965"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废水在线监控设备废液</w:t>
                  </w:r>
                </w:p>
              </w:tc>
              <w:tc>
                <w:tcPr>
                  <w:tcW w:w="1095" w:type="dxa"/>
                  <w:noWrap w:val="0"/>
                  <w:vAlign w:val="center"/>
                </w:tcPr>
                <w:p>
                  <w:pPr>
                    <w:autoSpaceDE w:val="0"/>
                    <w:autoSpaceDN w:val="0"/>
                    <w:snapToGrid w:val="0"/>
                    <w:jc w:val="center"/>
                    <w:rPr>
                      <w:rFonts w:hint="eastAsia"/>
                      <w:snapToGrid w:val="0"/>
                      <w:color w:val="auto"/>
                      <w:kern w:val="0"/>
                      <w:sz w:val="18"/>
                      <w:szCs w:val="18"/>
                      <w:lang w:eastAsia="zh-CN"/>
                    </w:rPr>
                  </w:pPr>
                  <w:r>
                    <w:rPr>
                      <w:rFonts w:hint="eastAsia"/>
                      <w:snapToGrid w:val="0"/>
                      <w:color w:val="auto"/>
                      <w:kern w:val="0"/>
                      <w:sz w:val="18"/>
                      <w:szCs w:val="18"/>
                      <w:lang w:eastAsia="zh-CN"/>
                    </w:rPr>
                    <w:t>危险废物</w:t>
                  </w:r>
                </w:p>
              </w:tc>
              <w:tc>
                <w:tcPr>
                  <w:tcW w:w="609"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在线监测</w:t>
                  </w:r>
                </w:p>
              </w:tc>
              <w:tc>
                <w:tcPr>
                  <w:tcW w:w="531" w:type="dxa"/>
                  <w:noWrap w:val="0"/>
                  <w:vAlign w:val="center"/>
                </w:tcPr>
                <w:p>
                  <w:pPr>
                    <w:autoSpaceDE w:val="0"/>
                    <w:autoSpaceDN w:val="0"/>
                    <w:snapToGrid w:val="0"/>
                    <w:jc w:val="center"/>
                    <w:rPr>
                      <w:rFonts w:hint="eastAsia"/>
                      <w:snapToGrid w:val="0"/>
                      <w:color w:val="auto"/>
                      <w:kern w:val="0"/>
                      <w:sz w:val="18"/>
                      <w:szCs w:val="18"/>
                      <w:lang w:eastAsia="zh-CN"/>
                    </w:rPr>
                  </w:pPr>
                  <w:r>
                    <w:rPr>
                      <w:rFonts w:hint="eastAsia"/>
                      <w:snapToGrid w:val="0"/>
                      <w:color w:val="auto"/>
                      <w:kern w:val="0"/>
                      <w:sz w:val="18"/>
                      <w:szCs w:val="18"/>
                      <w:lang w:eastAsia="zh-CN"/>
                    </w:rPr>
                    <w:t>液</w:t>
                  </w:r>
                </w:p>
              </w:tc>
              <w:tc>
                <w:tcPr>
                  <w:tcW w:w="564"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试剂等</w:t>
                  </w:r>
                </w:p>
              </w:tc>
              <w:tc>
                <w:tcPr>
                  <w:tcW w:w="803" w:type="dxa"/>
                  <w:vMerge w:val="continue"/>
                  <w:noWrap w:val="0"/>
                  <w:vAlign w:val="center"/>
                </w:tcPr>
                <w:p>
                  <w:pPr>
                    <w:autoSpaceDE w:val="0"/>
                    <w:autoSpaceDN w:val="0"/>
                    <w:snapToGrid w:val="0"/>
                    <w:jc w:val="center"/>
                    <w:rPr>
                      <w:snapToGrid w:val="0"/>
                      <w:color w:val="auto"/>
                      <w:kern w:val="0"/>
                      <w:sz w:val="18"/>
                      <w:szCs w:val="18"/>
                    </w:rPr>
                  </w:pPr>
                </w:p>
              </w:tc>
              <w:tc>
                <w:tcPr>
                  <w:tcW w:w="658" w:type="dxa"/>
                  <w:noWrap w:val="0"/>
                  <w:vAlign w:val="center"/>
                </w:tcPr>
                <w:p>
                  <w:pPr>
                    <w:autoSpaceDE w:val="0"/>
                    <w:autoSpaceDN w:val="0"/>
                    <w:snapToGrid w:val="0"/>
                    <w:jc w:val="center"/>
                    <w:rPr>
                      <w:rFonts w:hint="eastAsia"/>
                      <w:sz w:val="18"/>
                      <w:szCs w:val="18"/>
                    </w:rPr>
                  </w:pPr>
                  <w:r>
                    <w:rPr>
                      <w:rFonts w:hint="eastAsia"/>
                      <w:sz w:val="18"/>
                      <w:szCs w:val="18"/>
                    </w:rPr>
                    <w:t>T/C/I/R</w:t>
                  </w:r>
                </w:p>
              </w:tc>
              <w:tc>
                <w:tcPr>
                  <w:tcW w:w="570" w:type="dxa"/>
                  <w:noWrap w:val="0"/>
                  <w:vAlign w:val="center"/>
                </w:tcPr>
                <w:p>
                  <w:pPr>
                    <w:autoSpaceDE w:val="0"/>
                    <w:autoSpaceDN w:val="0"/>
                    <w:snapToGrid w:val="0"/>
                    <w:jc w:val="center"/>
                    <w:rPr>
                      <w:rFonts w:hint="eastAsia"/>
                      <w:snapToGrid w:val="0"/>
                      <w:kern w:val="0"/>
                      <w:sz w:val="18"/>
                      <w:szCs w:val="18"/>
                    </w:rPr>
                  </w:pPr>
                  <w:r>
                    <w:rPr>
                      <w:rFonts w:hint="eastAsia"/>
                      <w:snapToGrid w:val="0"/>
                      <w:kern w:val="0"/>
                      <w:sz w:val="18"/>
                      <w:szCs w:val="18"/>
                    </w:rPr>
                    <w:t>HW49</w:t>
                  </w:r>
                </w:p>
              </w:tc>
              <w:tc>
                <w:tcPr>
                  <w:tcW w:w="885" w:type="dxa"/>
                  <w:gridSpan w:val="2"/>
                  <w:noWrap w:val="0"/>
                  <w:vAlign w:val="center"/>
                </w:tcPr>
                <w:p>
                  <w:pPr>
                    <w:autoSpaceDE w:val="0"/>
                    <w:autoSpaceDN w:val="0"/>
                    <w:snapToGrid w:val="0"/>
                    <w:jc w:val="center"/>
                    <w:rPr>
                      <w:rFonts w:hint="eastAsia"/>
                      <w:snapToGrid w:val="0"/>
                      <w:kern w:val="0"/>
                      <w:sz w:val="18"/>
                      <w:szCs w:val="18"/>
                    </w:rPr>
                  </w:pPr>
                  <w:r>
                    <w:rPr>
                      <w:rFonts w:hint="eastAsia"/>
                      <w:snapToGrid w:val="0"/>
                      <w:kern w:val="0"/>
                      <w:sz w:val="18"/>
                      <w:szCs w:val="18"/>
                    </w:rPr>
                    <w:t>900-047-49</w:t>
                  </w:r>
                </w:p>
              </w:tc>
              <w:tc>
                <w:tcPr>
                  <w:tcW w:w="586"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1t/a</w:t>
                  </w:r>
                </w:p>
              </w:tc>
            </w:tr>
          </w:tbl>
          <w:p>
            <w:pPr>
              <w:keepNext w:val="0"/>
              <w:keepLines w:val="0"/>
              <w:pageBreakBefore w:val="0"/>
              <w:widowControl w:val="0"/>
              <w:kinsoku/>
              <w:wordWrap/>
              <w:overflowPunct/>
              <w:topLinePunct w:val="0"/>
              <w:bidi w:val="0"/>
              <w:adjustRightInd w:val="0"/>
              <w:snapToGrid w:val="0"/>
              <w:spacing w:line="500" w:lineRule="exact"/>
              <w:ind w:firstLine="420" w:firstLineChars="200"/>
              <w:textAlignment w:val="auto"/>
              <w:rPr>
                <w:rFonts w:hint="eastAsia"/>
                <w:bCs/>
                <w:color w:val="auto"/>
                <w:szCs w:val="21"/>
              </w:rPr>
            </w:pPr>
            <w:r>
              <w:rPr>
                <w:rFonts w:hint="eastAsia"/>
                <w:bCs/>
                <w:color w:val="auto"/>
                <w:szCs w:val="21"/>
                <w:lang w:val="en-US" w:eastAsia="zh-CN"/>
              </w:rPr>
              <w:t>3）</w:t>
            </w:r>
            <w:r>
              <w:rPr>
                <w:rFonts w:hint="eastAsia"/>
                <w:bCs/>
                <w:color w:val="auto"/>
                <w:szCs w:val="21"/>
              </w:rPr>
              <w:t>危险废物分析</w:t>
            </w:r>
          </w:p>
          <w:p>
            <w:pPr>
              <w:keepNext w:val="0"/>
              <w:keepLines w:val="0"/>
              <w:pageBreakBefore w:val="0"/>
              <w:widowControl w:val="0"/>
              <w:kinsoku/>
              <w:wordWrap/>
              <w:overflowPunct/>
              <w:topLinePunct w:val="0"/>
              <w:bidi w:val="0"/>
              <w:adjustRightInd/>
              <w:spacing w:line="500" w:lineRule="exact"/>
              <w:ind w:firstLine="420" w:firstLineChars="200"/>
              <w:textAlignment w:val="auto"/>
              <w:rPr>
                <w:rFonts w:hint="eastAsia"/>
                <w:vertAlign w:val="baseline"/>
              </w:rPr>
            </w:pPr>
            <w:r>
              <w:rPr>
                <w:rFonts w:hint="eastAsia"/>
                <w:bCs/>
                <w:color w:val="auto"/>
                <w:szCs w:val="21"/>
              </w:rPr>
              <w:t>根据《建设项目危险废物环境影响评价指南》要求，项目危险废物汇总见表4-</w:t>
            </w:r>
            <w:r>
              <w:rPr>
                <w:rFonts w:hint="eastAsia"/>
                <w:bCs/>
                <w:color w:val="auto"/>
                <w:szCs w:val="21"/>
                <w:lang w:val="en-US" w:eastAsia="zh-CN"/>
              </w:rPr>
              <w:t>17</w:t>
            </w:r>
            <w:r>
              <w:rPr>
                <w:rFonts w:hint="eastAsia"/>
                <w:bCs/>
                <w:color w:val="auto"/>
                <w:szCs w:val="21"/>
              </w:rPr>
              <w:t>。</w:t>
            </w:r>
          </w:p>
          <w:p>
            <w:pPr>
              <w:keepNext w:val="0"/>
              <w:keepLines w:val="0"/>
              <w:pageBreakBefore w:val="0"/>
              <w:widowControl w:val="0"/>
              <w:kinsoku/>
              <w:wordWrap/>
              <w:overflowPunct/>
              <w:topLinePunct w:val="0"/>
              <w:autoSpaceDE w:val="0"/>
              <w:autoSpaceDN w:val="0"/>
              <w:bidi w:val="0"/>
              <w:adjustRightInd/>
              <w:snapToGrid w:val="0"/>
              <w:spacing w:line="500" w:lineRule="exact"/>
              <w:ind w:firstLine="422" w:firstLineChars="200"/>
              <w:jc w:val="center"/>
              <w:textAlignment w:val="auto"/>
              <w:rPr>
                <w:b/>
                <w:snapToGrid w:val="0"/>
                <w:color w:val="auto"/>
                <w:kern w:val="0"/>
                <w:szCs w:val="21"/>
              </w:rPr>
            </w:pPr>
            <w:r>
              <w:rPr>
                <w:b/>
                <w:snapToGrid w:val="0"/>
                <w:color w:val="auto"/>
                <w:kern w:val="0"/>
                <w:szCs w:val="21"/>
              </w:rPr>
              <w:t>表</w:t>
            </w:r>
            <w:r>
              <w:rPr>
                <w:rFonts w:hint="eastAsia"/>
                <w:b/>
                <w:snapToGrid w:val="0"/>
                <w:color w:val="auto"/>
                <w:kern w:val="0"/>
                <w:szCs w:val="21"/>
              </w:rPr>
              <w:t>4-</w:t>
            </w:r>
            <w:r>
              <w:rPr>
                <w:rFonts w:hint="eastAsia"/>
                <w:b/>
                <w:snapToGrid w:val="0"/>
                <w:color w:val="auto"/>
                <w:kern w:val="0"/>
                <w:szCs w:val="21"/>
                <w:lang w:val="en-US" w:eastAsia="zh-CN"/>
              </w:rPr>
              <w:t xml:space="preserve">17 </w:t>
            </w:r>
            <w:r>
              <w:rPr>
                <w:b/>
                <w:snapToGrid w:val="0"/>
                <w:color w:val="auto"/>
                <w:kern w:val="0"/>
                <w:szCs w:val="21"/>
              </w:rPr>
              <w:t>危险废物汇总表</w:t>
            </w:r>
          </w:p>
          <w:tbl>
            <w:tblPr>
              <w:tblStyle w:val="11"/>
              <w:tblW w:w="76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0"/>
              <w:gridCol w:w="832"/>
              <w:gridCol w:w="666"/>
              <w:gridCol w:w="901"/>
              <w:gridCol w:w="750"/>
              <w:gridCol w:w="749"/>
              <w:gridCol w:w="600"/>
              <w:gridCol w:w="750"/>
              <w:gridCol w:w="750"/>
              <w:gridCol w:w="750"/>
              <w:gridCol w:w="6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270"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序号</w:t>
                  </w:r>
                </w:p>
              </w:tc>
              <w:tc>
                <w:tcPr>
                  <w:tcW w:w="832"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危险废物名称</w:t>
                  </w:r>
                </w:p>
              </w:tc>
              <w:tc>
                <w:tcPr>
                  <w:tcW w:w="666"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危险废物类别</w:t>
                  </w:r>
                </w:p>
              </w:tc>
              <w:tc>
                <w:tcPr>
                  <w:tcW w:w="901"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危险废物</w:t>
                  </w:r>
                </w:p>
                <w:p>
                  <w:pPr>
                    <w:autoSpaceDE w:val="0"/>
                    <w:autoSpaceDN w:val="0"/>
                    <w:snapToGrid w:val="0"/>
                    <w:jc w:val="center"/>
                    <w:rPr>
                      <w:b/>
                      <w:bCs/>
                      <w:snapToGrid w:val="0"/>
                      <w:color w:val="auto"/>
                      <w:kern w:val="0"/>
                      <w:sz w:val="18"/>
                      <w:szCs w:val="18"/>
                    </w:rPr>
                  </w:pPr>
                  <w:r>
                    <w:rPr>
                      <w:b/>
                      <w:bCs/>
                      <w:snapToGrid w:val="0"/>
                      <w:color w:val="auto"/>
                      <w:kern w:val="0"/>
                      <w:sz w:val="18"/>
                      <w:szCs w:val="18"/>
                    </w:rPr>
                    <w:t>代码</w:t>
                  </w:r>
                </w:p>
              </w:tc>
              <w:tc>
                <w:tcPr>
                  <w:tcW w:w="750"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产生量</w:t>
                  </w:r>
                </w:p>
              </w:tc>
              <w:tc>
                <w:tcPr>
                  <w:tcW w:w="749"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产生</w:t>
                  </w:r>
                </w:p>
                <w:p>
                  <w:pPr>
                    <w:autoSpaceDE w:val="0"/>
                    <w:autoSpaceDN w:val="0"/>
                    <w:snapToGrid w:val="0"/>
                    <w:jc w:val="center"/>
                    <w:rPr>
                      <w:b/>
                      <w:bCs/>
                      <w:snapToGrid w:val="0"/>
                      <w:color w:val="auto"/>
                      <w:kern w:val="0"/>
                      <w:sz w:val="18"/>
                      <w:szCs w:val="18"/>
                    </w:rPr>
                  </w:pPr>
                  <w:r>
                    <w:rPr>
                      <w:b/>
                      <w:bCs/>
                      <w:snapToGrid w:val="0"/>
                      <w:color w:val="auto"/>
                      <w:kern w:val="0"/>
                      <w:sz w:val="18"/>
                      <w:szCs w:val="18"/>
                    </w:rPr>
                    <w:t>工序</w:t>
                  </w:r>
                </w:p>
              </w:tc>
              <w:tc>
                <w:tcPr>
                  <w:tcW w:w="600"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形态</w:t>
                  </w:r>
                </w:p>
              </w:tc>
              <w:tc>
                <w:tcPr>
                  <w:tcW w:w="750"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主要</w:t>
                  </w:r>
                </w:p>
                <w:p>
                  <w:pPr>
                    <w:autoSpaceDE w:val="0"/>
                    <w:autoSpaceDN w:val="0"/>
                    <w:snapToGrid w:val="0"/>
                    <w:jc w:val="center"/>
                    <w:rPr>
                      <w:b/>
                      <w:bCs/>
                      <w:snapToGrid w:val="0"/>
                      <w:color w:val="auto"/>
                      <w:kern w:val="0"/>
                      <w:sz w:val="18"/>
                      <w:szCs w:val="18"/>
                    </w:rPr>
                  </w:pPr>
                  <w:r>
                    <w:rPr>
                      <w:b/>
                      <w:bCs/>
                      <w:snapToGrid w:val="0"/>
                      <w:color w:val="auto"/>
                      <w:kern w:val="0"/>
                      <w:sz w:val="18"/>
                      <w:szCs w:val="18"/>
                    </w:rPr>
                    <w:t>成分</w:t>
                  </w:r>
                </w:p>
              </w:tc>
              <w:tc>
                <w:tcPr>
                  <w:tcW w:w="750"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有害</w:t>
                  </w:r>
                </w:p>
                <w:p>
                  <w:pPr>
                    <w:autoSpaceDE w:val="0"/>
                    <w:autoSpaceDN w:val="0"/>
                    <w:snapToGrid w:val="0"/>
                    <w:jc w:val="center"/>
                    <w:rPr>
                      <w:b/>
                      <w:bCs/>
                      <w:snapToGrid w:val="0"/>
                      <w:color w:val="auto"/>
                      <w:kern w:val="0"/>
                      <w:sz w:val="18"/>
                      <w:szCs w:val="18"/>
                    </w:rPr>
                  </w:pPr>
                  <w:r>
                    <w:rPr>
                      <w:b/>
                      <w:bCs/>
                      <w:snapToGrid w:val="0"/>
                      <w:color w:val="auto"/>
                      <w:kern w:val="0"/>
                      <w:sz w:val="18"/>
                      <w:szCs w:val="18"/>
                    </w:rPr>
                    <w:t>成分</w:t>
                  </w:r>
                </w:p>
              </w:tc>
              <w:tc>
                <w:tcPr>
                  <w:tcW w:w="750"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产废</w:t>
                  </w:r>
                </w:p>
                <w:p>
                  <w:pPr>
                    <w:autoSpaceDE w:val="0"/>
                    <w:autoSpaceDN w:val="0"/>
                    <w:snapToGrid w:val="0"/>
                    <w:jc w:val="center"/>
                    <w:rPr>
                      <w:b/>
                      <w:bCs/>
                      <w:snapToGrid w:val="0"/>
                      <w:color w:val="auto"/>
                      <w:kern w:val="0"/>
                      <w:sz w:val="18"/>
                      <w:szCs w:val="18"/>
                    </w:rPr>
                  </w:pPr>
                  <w:r>
                    <w:rPr>
                      <w:b/>
                      <w:bCs/>
                      <w:snapToGrid w:val="0"/>
                      <w:color w:val="auto"/>
                      <w:kern w:val="0"/>
                      <w:sz w:val="18"/>
                      <w:szCs w:val="18"/>
                    </w:rPr>
                    <w:t>周期</w:t>
                  </w:r>
                </w:p>
              </w:tc>
              <w:tc>
                <w:tcPr>
                  <w:tcW w:w="600"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危险</w:t>
                  </w:r>
                </w:p>
                <w:p>
                  <w:pPr>
                    <w:autoSpaceDE w:val="0"/>
                    <w:autoSpaceDN w:val="0"/>
                    <w:snapToGrid w:val="0"/>
                    <w:jc w:val="center"/>
                    <w:rPr>
                      <w:b/>
                      <w:bCs/>
                      <w:snapToGrid w:val="0"/>
                      <w:color w:val="auto"/>
                      <w:kern w:val="0"/>
                      <w:sz w:val="18"/>
                      <w:szCs w:val="18"/>
                    </w:rPr>
                  </w:pPr>
                  <w:r>
                    <w:rPr>
                      <w:b/>
                      <w:bCs/>
                      <w:snapToGrid w:val="0"/>
                      <w:color w:val="auto"/>
                      <w:kern w:val="0"/>
                      <w:sz w:val="18"/>
                      <w:szCs w:val="18"/>
                    </w:rPr>
                    <w:t>特性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70"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1</w:t>
                  </w:r>
                </w:p>
              </w:tc>
              <w:tc>
                <w:tcPr>
                  <w:tcW w:w="832"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废包装桶</w:t>
                  </w:r>
                </w:p>
              </w:tc>
              <w:tc>
                <w:tcPr>
                  <w:tcW w:w="666"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HW49</w:t>
                  </w:r>
                </w:p>
              </w:tc>
              <w:tc>
                <w:tcPr>
                  <w:tcW w:w="901" w:type="dxa"/>
                  <w:noWrap w:val="0"/>
                  <w:vAlign w:val="center"/>
                </w:tcPr>
                <w:p>
                  <w:pPr>
                    <w:autoSpaceDE w:val="0"/>
                    <w:autoSpaceDN w:val="0"/>
                    <w:snapToGrid w:val="0"/>
                    <w:jc w:val="both"/>
                    <w:rPr>
                      <w:rFonts w:hint="eastAsia"/>
                      <w:snapToGrid w:val="0"/>
                      <w:kern w:val="0"/>
                      <w:sz w:val="18"/>
                      <w:szCs w:val="18"/>
                    </w:rPr>
                  </w:pPr>
                  <w:r>
                    <w:rPr>
                      <w:rFonts w:hint="eastAsia"/>
                      <w:snapToGrid w:val="0"/>
                      <w:kern w:val="0"/>
                      <w:sz w:val="18"/>
                      <w:szCs w:val="18"/>
                      <w:lang w:val="en-US" w:eastAsia="zh-CN"/>
                    </w:rPr>
                    <w:t>900-041-49</w:t>
                  </w:r>
                </w:p>
              </w:tc>
              <w:tc>
                <w:tcPr>
                  <w:tcW w:w="750"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0.24</w:t>
                  </w:r>
                  <w:r>
                    <w:rPr>
                      <w:snapToGrid w:val="0"/>
                      <w:color w:val="auto"/>
                      <w:kern w:val="0"/>
                      <w:sz w:val="18"/>
                      <w:szCs w:val="18"/>
                    </w:rPr>
                    <w:t>t/a</w:t>
                  </w:r>
                </w:p>
              </w:tc>
              <w:tc>
                <w:tcPr>
                  <w:tcW w:w="749"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原料使用</w:t>
                  </w:r>
                </w:p>
              </w:tc>
              <w:tc>
                <w:tcPr>
                  <w:tcW w:w="600" w:type="dxa"/>
                  <w:noWrap w:val="0"/>
                  <w:vAlign w:val="center"/>
                </w:tcPr>
                <w:p>
                  <w:pPr>
                    <w:autoSpaceDE w:val="0"/>
                    <w:autoSpaceDN w:val="0"/>
                    <w:snapToGrid w:val="0"/>
                    <w:jc w:val="center"/>
                    <w:rPr>
                      <w:rFonts w:hint="eastAsia"/>
                      <w:snapToGrid w:val="0"/>
                      <w:color w:val="auto"/>
                      <w:kern w:val="0"/>
                      <w:sz w:val="18"/>
                      <w:szCs w:val="18"/>
                      <w:lang w:eastAsia="zh-CN"/>
                    </w:rPr>
                  </w:pPr>
                  <w:r>
                    <w:rPr>
                      <w:rFonts w:hint="eastAsia"/>
                      <w:snapToGrid w:val="0"/>
                      <w:color w:val="auto"/>
                      <w:kern w:val="0"/>
                      <w:sz w:val="18"/>
                      <w:szCs w:val="18"/>
                      <w:lang w:eastAsia="zh-CN"/>
                    </w:rPr>
                    <w:t>固</w:t>
                  </w:r>
                </w:p>
              </w:tc>
              <w:tc>
                <w:tcPr>
                  <w:tcW w:w="750" w:type="dxa"/>
                  <w:noWrap w:val="0"/>
                  <w:vAlign w:val="center"/>
                </w:tcPr>
                <w:p>
                  <w:pPr>
                    <w:jc w:val="center"/>
                    <w:rPr>
                      <w:rFonts w:hint="eastAsia" w:cs="Times New Roman"/>
                      <w:color w:val="auto"/>
                      <w:sz w:val="18"/>
                      <w:szCs w:val="18"/>
                      <w:lang w:val="en-US" w:eastAsia="zh-CN"/>
                    </w:rPr>
                  </w:pPr>
                  <w:r>
                    <w:rPr>
                      <w:rFonts w:hint="eastAsia"/>
                      <w:color w:val="auto"/>
                      <w:sz w:val="18"/>
                      <w:szCs w:val="18"/>
                      <w:lang w:val="en-US" w:eastAsia="zh-CN"/>
                    </w:rPr>
                    <w:t>洗涤剂等</w:t>
                  </w:r>
                </w:p>
              </w:tc>
              <w:tc>
                <w:tcPr>
                  <w:tcW w:w="750" w:type="dxa"/>
                  <w:noWrap w:val="0"/>
                  <w:vAlign w:val="center"/>
                </w:tcPr>
                <w:p>
                  <w:pPr>
                    <w:jc w:val="center"/>
                    <w:rPr>
                      <w:rFonts w:hint="eastAsia" w:cs="Times New Roman"/>
                      <w:color w:val="auto"/>
                      <w:sz w:val="18"/>
                      <w:szCs w:val="18"/>
                      <w:lang w:val="en-US" w:eastAsia="zh-CN"/>
                    </w:rPr>
                  </w:pPr>
                  <w:r>
                    <w:rPr>
                      <w:rFonts w:hint="eastAsia"/>
                      <w:color w:val="auto"/>
                      <w:sz w:val="18"/>
                      <w:szCs w:val="18"/>
                      <w:lang w:val="en-US" w:eastAsia="zh-CN"/>
                    </w:rPr>
                    <w:t>洗涤剂等</w:t>
                  </w:r>
                </w:p>
              </w:tc>
              <w:tc>
                <w:tcPr>
                  <w:tcW w:w="750"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每天</w:t>
                  </w:r>
                </w:p>
              </w:tc>
              <w:tc>
                <w:tcPr>
                  <w:tcW w:w="600" w:type="dxa"/>
                  <w:noWrap w:val="0"/>
                  <w:vAlign w:val="center"/>
                </w:tcPr>
                <w:p>
                  <w:pPr>
                    <w:autoSpaceDE w:val="0"/>
                    <w:autoSpaceDN w:val="0"/>
                    <w:snapToGrid w:val="0"/>
                    <w:jc w:val="center"/>
                    <w:rPr>
                      <w:rFonts w:hint="eastAsia"/>
                      <w:sz w:val="18"/>
                      <w:szCs w:val="18"/>
                    </w:rPr>
                  </w:pPr>
                  <w:r>
                    <w:rPr>
                      <w:rFonts w:hint="eastAsia"/>
                      <w:sz w:val="18"/>
                      <w:szCs w:val="18"/>
                    </w:rPr>
                    <w:t>T/In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70" w:type="dxa"/>
                  <w:noWrap w:val="0"/>
                  <w:vAlign w:val="center"/>
                </w:tcPr>
                <w:p>
                  <w:pPr>
                    <w:autoSpaceDE w:val="0"/>
                    <w:autoSpaceDN w:val="0"/>
                    <w:snapToGrid w:val="0"/>
                    <w:jc w:val="center"/>
                    <w:rPr>
                      <w:rFonts w:hint="default"/>
                      <w:snapToGrid w:val="0"/>
                      <w:color w:val="auto"/>
                      <w:kern w:val="0"/>
                      <w:sz w:val="18"/>
                      <w:szCs w:val="18"/>
                      <w:lang w:val="en-US" w:eastAsia="zh-CN"/>
                    </w:rPr>
                  </w:pPr>
                  <w:r>
                    <w:rPr>
                      <w:rFonts w:hint="eastAsia"/>
                      <w:snapToGrid w:val="0"/>
                      <w:color w:val="auto"/>
                      <w:kern w:val="0"/>
                      <w:sz w:val="18"/>
                      <w:szCs w:val="18"/>
                      <w:lang w:val="en-US" w:eastAsia="zh-CN"/>
                    </w:rPr>
                    <w:t>2</w:t>
                  </w:r>
                </w:p>
              </w:tc>
              <w:tc>
                <w:tcPr>
                  <w:tcW w:w="832"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污泥</w:t>
                  </w:r>
                </w:p>
              </w:tc>
              <w:tc>
                <w:tcPr>
                  <w:tcW w:w="666" w:type="dxa"/>
                  <w:noWrap w:val="0"/>
                  <w:vAlign w:val="center"/>
                </w:tcPr>
                <w:p>
                  <w:pPr>
                    <w:jc w:val="center"/>
                    <w:rPr>
                      <w:rFonts w:hint="eastAsia"/>
                      <w:snapToGrid w:val="0"/>
                      <w:color w:val="auto"/>
                      <w:kern w:val="0"/>
                      <w:sz w:val="18"/>
                      <w:szCs w:val="18"/>
                      <w:lang w:val="en-US" w:eastAsia="zh-CN"/>
                    </w:rPr>
                  </w:pPr>
                  <w:r>
                    <w:rPr>
                      <w:rFonts w:hint="eastAsia"/>
                      <w:sz w:val="18"/>
                      <w:szCs w:val="18"/>
                      <w:lang w:val="en-US" w:eastAsia="zh-CN"/>
                    </w:rPr>
                    <w:t>HW49</w:t>
                  </w:r>
                </w:p>
              </w:tc>
              <w:tc>
                <w:tcPr>
                  <w:tcW w:w="901" w:type="dxa"/>
                  <w:noWrap w:val="0"/>
                  <w:vAlign w:val="center"/>
                </w:tcPr>
                <w:p>
                  <w:pPr>
                    <w:jc w:val="both"/>
                    <w:rPr>
                      <w:rFonts w:hint="eastAsia"/>
                      <w:snapToGrid w:val="0"/>
                      <w:kern w:val="0"/>
                      <w:sz w:val="18"/>
                      <w:szCs w:val="18"/>
                    </w:rPr>
                  </w:pPr>
                  <w:r>
                    <w:rPr>
                      <w:rFonts w:hint="eastAsia"/>
                      <w:sz w:val="18"/>
                      <w:szCs w:val="18"/>
                    </w:rPr>
                    <w:t>772-006-49</w:t>
                  </w:r>
                </w:p>
              </w:tc>
              <w:tc>
                <w:tcPr>
                  <w:tcW w:w="750"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0.75</w:t>
                  </w:r>
                  <w:r>
                    <w:rPr>
                      <w:snapToGrid w:val="0"/>
                      <w:color w:val="auto"/>
                      <w:kern w:val="0"/>
                      <w:sz w:val="18"/>
                      <w:szCs w:val="18"/>
                    </w:rPr>
                    <w:t>t/a</w:t>
                  </w:r>
                </w:p>
              </w:tc>
              <w:tc>
                <w:tcPr>
                  <w:tcW w:w="749"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废水处理</w:t>
                  </w:r>
                </w:p>
              </w:tc>
              <w:tc>
                <w:tcPr>
                  <w:tcW w:w="600" w:type="dxa"/>
                  <w:noWrap w:val="0"/>
                  <w:vAlign w:val="center"/>
                </w:tcPr>
                <w:p>
                  <w:pPr>
                    <w:autoSpaceDE w:val="0"/>
                    <w:autoSpaceDN w:val="0"/>
                    <w:snapToGrid w:val="0"/>
                    <w:jc w:val="center"/>
                    <w:rPr>
                      <w:rFonts w:hint="eastAsia"/>
                      <w:snapToGrid w:val="0"/>
                      <w:color w:val="auto"/>
                      <w:kern w:val="0"/>
                      <w:sz w:val="18"/>
                      <w:szCs w:val="18"/>
                      <w:lang w:eastAsia="zh-CN"/>
                    </w:rPr>
                  </w:pPr>
                  <w:r>
                    <w:rPr>
                      <w:rFonts w:hint="eastAsia"/>
                      <w:snapToGrid w:val="0"/>
                      <w:color w:val="auto"/>
                      <w:kern w:val="0"/>
                      <w:sz w:val="18"/>
                      <w:szCs w:val="18"/>
                      <w:lang w:eastAsia="zh-CN"/>
                    </w:rPr>
                    <w:t>半固</w:t>
                  </w:r>
                </w:p>
              </w:tc>
              <w:tc>
                <w:tcPr>
                  <w:tcW w:w="750" w:type="dxa"/>
                  <w:noWrap w:val="0"/>
                  <w:vAlign w:val="center"/>
                </w:tcPr>
                <w:p>
                  <w:pPr>
                    <w:jc w:val="center"/>
                    <w:rPr>
                      <w:rFonts w:hint="eastAsia" w:cs="Times New Roman"/>
                      <w:color w:val="auto"/>
                      <w:sz w:val="18"/>
                      <w:szCs w:val="18"/>
                      <w:lang w:val="en-US" w:eastAsia="zh-CN"/>
                    </w:rPr>
                  </w:pPr>
                  <w:r>
                    <w:rPr>
                      <w:rFonts w:hint="eastAsia"/>
                      <w:color w:val="auto"/>
                      <w:sz w:val="18"/>
                      <w:szCs w:val="18"/>
                      <w:lang w:eastAsia="zh-CN"/>
                    </w:rPr>
                    <w:t>污泥</w:t>
                  </w:r>
                </w:p>
              </w:tc>
              <w:tc>
                <w:tcPr>
                  <w:tcW w:w="750" w:type="dxa"/>
                  <w:noWrap w:val="0"/>
                  <w:vAlign w:val="center"/>
                </w:tcPr>
                <w:p>
                  <w:pPr>
                    <w:jc w:val="center"/>
                    <w:rPr>
                      <w:rFonts w:hint="eastAsia" w:cs="Times New Roman"/>
                      <w:color w:val="auto"/>
                      <w:sz w:val="18"/>
                      <w:szCs w:val="18"/>
                      <w:lang w:val="en-US" w:eastAsia="zh-CN"/>
                    </w:rPr>
                  </w:pPr>
                  <w:r>
                    <w:rPr>
                      <w:rFonts w:hint="eastAsia"/>
                      <w:color w:val="auto"/>
                      <w:sz w:val="18"/>
                      <w:szCs w:val="18"/>
                      <w:lang w:eastAsia="zh-CN"/>
                    </w:rPr>
                    <w:t>污泥</w:t>
                  </w:r>
                </w:p>
              </w:tc>
              <w:tc>
                <w:tcPr>
                  <w:tcW w:w="750"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每天</w:t>
                  </w:r>
                </w:p>
              </w:tc>
              <w:tc>
                <w:tcPr>
                  <w:tcW w:w="600" w:type="dxa"/>
                  <w:noWrap w:val="0"/>
                  <w:vAlign w:val="center"/>
                </w:tcPr>
                <w:p>
                  <w:pPr>
                    <w:jc w:val="center"/>
                    <w:rPr>
                      <w:rFonts w:hint="eastAsia"/>
                      <w:sz w:val="18"/>
                      <w:szCs w:val="18"/>
                    </w:rPr>
                  </w:pPr>
                  <w:r>
                    <w:rPr>
                      <w:rFonts w:hint="eastAsia"/>
                      <w:sz w:val="18"/>
                      <w:szCs w:val="18"/>
                    </w:rPr>
                    <w:t>T/In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270" w:type="dxa"/>
                  <w:noWrap w:val="0"/>
                  <w:vAlign w:val="center"/>
                </w:tcPr>
                <w:p>
                  <w:pPr>
                    <w:autoSpaceDE w:val="0"/>
                    <w:autoSpaceDN w:val="0"/>
                    <w:snapToGrid w:val="0"/>
                    <w:jc w:val="center"/>
                    <w:rPr>
                      <w:rFonts w:hint="eastAsia" w:eastAsia="宋体"/>
                      <w:snapToGrid w:val="0"/>
                      <w:color w:val="auto"/>
                      <w:kern w:val="0"/>
                      <w:sz w:val="18"/>
                      <w:szCs w:val="18"/>
                      <w:lang w:val="en-US" w:eastAsia="zh-CN"/>
                    </w:rPr>
                  </w:pPr>
                  <w:r>
                    <w:rPr>
                      <w:rFonts w:hint="eastAsia"/>
                      <w:snapToGrid w:val="0"/>
                      <w:color w:val="auto"/>
                      <w:kern w:val="0"/>
                      <w:sz w:val="18"/>
                      <w:szCs w:val="18"/>
                      <w:lang w:val="en-US" w:eastAsia="zh-CN"/>
                    </w:rPr>
                    <w:t>3</w:t>
                  </w:r>
                </w:p>
              </w:tc>
              <w:tc>
                <w:tcPr>
                  <w:tcW w:w="832" w:type="dxa"/>
                  <w:noWrap w:val="0"/>
                  <w:vAlign w:val="center"/>
                </w:tcPr>
                <w:p>
                  <w:pPr>
                    <w:jc w:val="center"/>
                    <w:rPr>
                      <w:snapToGrid w:val="0"/>
                      <w:color w:val="auto"/>
                      <w:kern w:val="0"/>
                      <w:sz w:val="18"/>
                      <w:szCs w:val="18"/>
                    </w:rPr>
                  </w:pPr>
                  <w:r>
                    <w:rPr>
                      <w:rFonts w:hint="eastAsia"/>
                      <w:color w:val="auto"/>
                      <w:sz w:val="18"/>
                      <w:szCs w:val="18"/>
                      <w:lang w:val="en-US" w:eastAsia="zh-CN"/>
                    </w:rPr>
                    <w:t>废水在线监控设备废液</w:t>
                  </w:r>
                </w:p>
              </w:tc>
              <w:tc>
                <w:tcPr>
                  <w:tcW w:w="666" w:type="dxa"/>
                  <w:noWrap w:val="0"/>
                  <w:vAlign w:val="center"/>
                </w:tcPr>
                <w:p>
                  <w:pPr>
                    <w:autoSpaceDE w:val="0"/>
                    <w:autoSpaceDN w:val="0"/>
                    <w:snapToGrid w:val="0"/>
                    <w:jc w:val="center"/>
                    <w:rPr>
                      <w:rFonts w:hint="default"/>
                      <w:snapToGrid w:val="0"/>
                      <w:color w:val="auto"/>
                      <w:kern w:val="0"/>
                      <w:sz w:val="18"/>
                      <w:szCs w:val="18"/>
                      <w:lang w:val="en-US"/>
                    </w:rPr>
                  </w:pPr>
                  <w:r>
                    <w:rPr>
                      <w:rFonts w:hint="eastAsia"/>
                      <w:snapToGrid w:val="0"/>
                      <w:color w:val="auto"/>
                      <w:kern w:val="0"/>
                      <w:sz w:val="18"/>
                      <w:szCs w:val="18"/>
                      <w:lang w:val="en-US" w:eastAsia="zh-CN"/>
                    </w:rPr>
                    <w:t>HW49</w:t>
                  </w:r>
                </w:p>
              </w:tc>
              <w:tc>
                <w:tcPr>
                  <w:tcW w:w="901" w:type="dxa"/>
                  <w:noWrap w:val="0"/>
                  <w:vAlign w:val="center"/>
                </w:tcPr>
                <w:p>
                  <w:pPr>
                    <w:autoSpaceDE w:val="0"/>
                    <w:autoSpaceDN w:val="0"/>
                    <w:snapToGrid w:val="0"/>
                    <w:jc w:val="center"/>
                    <w:rPr>
                      <w:snapToGrid w:val="0"/>
                      <w:color w:val="auto"/>
                      <w:kern w:val="0"/>
                      <w:sz w:val="18"/>
                      <w:szCs w:val="18"/>
                    </w:rPr>
                  </w:pPr>
                  <w:r>
                    <w:rPr>
                      <w:rFonts w:hint="eastAsia"/>
                      <w:snapToGrid w:val="0"/>
                      <w:kern w:val="0"/>
                      <w:sz w:val="18"/>
                      <w:szCs w:val="18"/>
                    </w:rPr>
                    <w:t>900-047-49</w:t>
                  </w:r>
                </w:p>
              </w:tc>
              <w:tc>
                <w:tcPr>
                  <w:tcW w:w="750" w:type="dxa"/>
                  <w:noWrap w:val="0"/>
                  <w:vAlign w:val="center"/>
                </w:tcPr>
                <w:p>
                  <w:pPr>
                    <w:autoSpaceDE w:val="0"/>
                    <w:autoSpaceDN w:val="0"/>
                    <w:snapToGrid w:val="0"/>
                    <w:jc w:val="center"/>
                    <w:rPr>
                      <w:rFonts w:hint="eastAsia"/>
                      <w:snapToGrid w:val="0"/>
                      <w:color w:val="auto"/>
                      <w:kern w:val="0"/>
                      <w:sz w:val="18"/>
                      <w:szCs w:val="18"/>
                    </w:rPr>
                  </w:pPr>
                  <w:r>
                    <w:rPr>
                      <w:rFonts w:hint="eastAsia"/>
                      <w:snapToGrid w:val="0"/>
                      <w:color w:val="auto"/>
                      <w:kern w:val="0"/>
                      <w:sz w:val="18"/>
                      <w:szCs w:val="18"/>
                      <w:lang w:val="en-US" w:eastAsia="zh-CN"/>
                    </w:rPr>
                    <w:t>1</w:t>
                  </w:r>
                  <w:r>
                    <w:rPr>
                      <w:snapToGrid w:val="0"/>
                      <w:color w:val="auto"/>
                      <w:kern w:val="0"/>
                      <w:sz w:val="18"/>
                      <w:szCs w:val="18"/>
                    </w:rPr>
                    <w:t>t/a</w:t>
                  </w:r>
                </w:p>
              </w:tc>
              <w:tc>
                <w:tcPr>
                  <w:tcW w:w="749" w:type="dxa"/>
                  <w:noWrap w:val="0"/>
                  <w:vAlign w:val="center"/>
                </w:tcPr>
                <w:p>
                  <w:pPr>
                    <w:jc w:val="center"/>
                    <w:rPr>
                      <w:snapToGrid w:val="0"/>
                      <w:color w:val="auto"/>
                      <w:kern w:val="0"/>
                      <w:sz w:val="18"/>
                      <w:szCs w:val="18"/>
                    </w:rPr>
                  </w:pPr>
                  <w:r>
                    <w:rPr>
                      <w:rFonts w:hint="eastAsia"/>
                      <w:color w:val="auto"/>
                      <w:sz w:val="18"/>
                      <w:szCs w:val="18"/>
                      <w:lang w:val="en-US" w:eastAsia="zh-CN"/>
                    </w:rPr>
                    <w:t>在线监测</w:t>
                  </w:r>
                </w:p>
              </w:tc>
              <w:tc>
                <w:tcPr>
                  <w:tcW w:w="600" w:type="dxa"/>
                  <w:noWrap w:val="0"/>
                  <w:vAlign w:val="center"/>
                </w:tcPr>
                <w:p>
                  <w:pPr>
                    <w:autoSpaceDE w:val="0"/>
                    <w:autoSpaceDN w:val="0"/>
                    <w:snapToGrid w:val="0"/>
                    <w:jc w:val="center"/>
                    <w:rPr>
                      <w:rFonts w:hint="eastAsia" w:eastAsia="宋体"/>
                      <w:snapToGrid w:val="0"/>
                      <w:color w:val="auto"/>
                      <w:kern w:val="0"/>
                      <w:sz w:val="18"/>
                      <w:szCs w:val="18"/>
                      <w:lang w:eastAsia="zh-CN"/>
                    </w:rPr>
                  </w:pPr>
                  <w:r>
                    <w:rPr>
                      <w:rFonts w:hint="eastAsia"/>
                      <w:snapToGrid w:val="0"/>
                      <w:color w:val="auto"/>
                      <w:kern w:val="0"/>
                      <w:sz w:val="18"/>
                      <w:szCs w:val="18"/>
                      <w:lang w:eastAsia="zh-CN"/>
                    </w:rPr>
                    <w:t>液</w:t>
                  </w:r>
                </w:p>
              </w:tc>
              <w:tc>
                <w:tcPr>
                  <w:tcW w:w="750" w:type="dxa"/>
                  <w:noWrap w:val="0"/>
                  <w:vAlign w:val="center"/>
                </w:tcPr>
                <w:p>
                  <w:pPr>
                    <w:jc w:val="center"/>
                    <w:rPr>
                      <w:snapToGrid w:val="0"/>
                      <w:color w:val="auto"/>
                      <w:kern w:val="0"/>
                      <w:sz w:val="18"/>
                      <w:szCs w:val="18"/>
                    </w:rPr>
                  </w:pPr>
                  <w:r>
                    <w:rPr>
                      <w:rFonts w:hint="eastAsia" w:cs="Times New Roman"/>
                      <w:color w:val="auto"/>
                      <w:sz w:val="18"/>
                      <w:szCs w:val="18"/>
                      <w:lang w:val="en-US" w:eastAsia="zh-CN"/>
                    </w:rPr>
                    <w:t>试剂等</w:t>
                  </w:r>
                </w:p>
              </w:tc>
              <w:tc>
                <w:tcPr>
                  <w:tcW w:w="750" w:type="dxa"/>
                  <w:noWrap w:val="0"/>
                  <w:vAlign w:val="center"/>
                </w:tcPr>
                <w:p>
                  <w:pPr>
                    <w:jc w:val="center"/>
                    <w:rPr>
                      <w:snapToGrid w:val="0"/>
                      <w:color w:val="auto"/>
                      <w:kern w:val="0"/>
                      <w:sz w:val="18"/>
                      <w:szCs w:val="18"/>
                    </w:rPr>
                  </w:pPr>
                  <w:r>
                    <w:rPr>
                      <w:rFonts w:hint="eastAsia" w:cs="Times New Roman"/>
                      <w:color w:val="auto"/>
                      <w:sz w:val="18"/>
                      <w:szCs w:val="18"/>
                      <w:lang w:val="en-US" w:eastAsia="zh-CN"/>
                    </w:rPr>
                    <w:t>试剂等</w:t>
                  </w:r>
                </w:p>
              </w:tc>
              <w:tc>
                <w:tcPr>
                  <w:tcW w:w="750" w:type="dxa"/>
                  <w:noWrap w:val="0"/>
                  <w:vAlign w:val="center"/>
                </w:tcPr>
                <w:p>
                  <w:pPr>
                    <w:autoSpaceDE w:val="0"/>
                    <w:autoSpaceDN w:val="0"/>
                    <w:snapToGrid w:val="0"/>
                    <w:jc w:val="center"/>
                    <w:rPr>
                      <w:rFonts w:hint="default" w:eastAsia="宋体"/>
                      <w:snapToGrid w:val="0"/>
                      <w:color w:val="auto"/>
                      <w:kern w:val="0"/>
                      <w:sz w:val="18"/>
                      <w:szCs w:val="18"/>
                      <w:lang w:val="en-US" w:eastAsia="zh-CN"/>
                    </w:rPr>
                  </w:pPr>
                  <w:r>
                    <w:rPr>
                      <w:rFonts w:hint="eastAsia"/>
                      <w:snapToGrid w:val="0"/>
                      <w:color w:val="auto"/>
                      <w:kern w:val="0"/>
                      <w:sz w:val="18"/>
                      <w:szCs w:val="18"/>
                      <w:lang w:val="en-US" w:eastAsia="zh-CN"/>
                    </w:rPr>
                    <w:t>每天</w:t>
                  </w:r>
                </w:p>
              </w:tc>
              <w:tc>
                <w:tcPr>
                  <w:tcW w:w="600" w:type="dxa"/>
                  <w:noWrap w:val="0"/>
                  <w:vAlign w:val="center"/>
                </w:tcPr>
                <w:p>
                  <w:pPr>
                    <w:autoSpaceDE w:val="0"/>
                    <w:autoSpaceDN w:val="0"/>
                    <w:snapToGrid w:val="0"/>
                    <w:jc w:val="center"/>
                    <w:rPr>
                      <w:snapToGrid w:val="0"/>
                      <w:color w:val="auto"/>
                      <w:kern w:val="0"/>
                      <w:sz w:val="18"/>
                      <w:szCs w:val="18"/>
                    </w:rPr>
                  </w:pPr>
                  <w:r>
                    <w:rPr>
                      <w:rFonts w:hint="eastAsia"/>
                      <w:sz w:val="18"/>
                      <w:szCs w:val="18"/>
                    </w:rPr>
                    <w:t>T/C/I/R</w:t>
                  </w:r>
                </w:p>
              </w:tc>
            </w:tr>
          </w:tbl>
          <w:p>
            <w:pPr>
              <w:keepNext w:val="0"/>
              <w:keepLines w:val="0"/>
              <w:pageBreakBefore w:val="0"/>
              <w:widowControl w:val="0"/>
              <w:kinsoku/>
              <w:wordWrap/>
              <w:overflowPunct/>
              <w:topLinePunct w:val="0"/>
              <w:bidi w:val="0"/>
              <w:adjustRightInd w:val="0"/>
              <w:snapToGrid w:val="0"/>
              <w:spacing w:line="500" w:lineRule="exact"/>
              <w:ind w:firstLine="420" w:firstLineChars="200"/>
              <w:textAlignment w:val="auto"/>
              <w:rPr>
                <w:rFonts w:hint="eastAsia"/>
                <w:bCs/>
                <w:color w:val="auto"/>
                <w:szCs w:val="21"/>
              </w:rPr>
            </w:pPr>
            <w:r>
              <w:rPr>
                <w:rFonts w:hint="eastAsia"/>
                <w:bCs/>
                <w:color w:val="auto"/>
                <w:szCs w:val="21"/>
                <w:lang w:val="en-US" w:eastAsia="zh-CN"/>
              </w:rPr>
              <w:t>4）</w:t>
            </w:r>
            <w:r>
              <w:rPr>
                <w:rFonts w:hint="eastAsia"/>
                <w:bCs/>
                <w:color w:val="auto"/>
                <w:szCs w:val="21"/>
              </w:rPr>
              <w:t>危险废物贮存场所基本情况</w:t>
            </w:r>
          </w:p>
          <w:p>
            <w:pPr>
              <w:keepNext w:val="0"/>
              <w:keepLines w:val="0"/>
              <w:pageBreakBefore w:val="0"/>
              <w:widowControl w:val="0"/>
              <w:kinsoku/>
              <w:wordWrap/>
              <w:overflowPunct/>
              <w:topLinePunct w:val="0"/>
              <w:bidi w:val="0"/>
              <w:adjustRightInd w:val="0"/>
              <w:snapToGrid w:val="0"/>
              <w:spacing w:line="500" w:lineRule="exact"/>
              <w:ind w:firstLine="420" w:firstLineChars="200"/>
              <w:textAlignment w:val="auto"/>
              <w:rPr>
                <w:rFonts w:hint="eastAsia"/>
                <w:bCs/>
                <w:color w:val="auto"/>
                <w:szCs w:val="21"/>
              </w:rPr>
            </w:pPr>
            <w:r>
              <w:rPr>
                <w:rFonts w:hint="eastAsia"/>
                <w:bCs/>
                <w:color w:val="auto"/>
                <w:szCs w:val="21"/>
              </w:rPr>
              <w:t>危险废物贮存场所基本情况见表4-</w:t>
            </w:r>
            <w:r>
              <w:rPr>
                <w:rFonts w:hint="eastAsia"/>
                <w:bCs/>
                <w:color w:val="auto"/>
                <w:szCs w:val="21"/>
                <w:lang w:val="en-US" w:eastAsia="zh-CN"/>
              </w:rPr>
              <w:t>18</w:t>
            </w:r>
            <w:r>
              <w:rPr>
                <w:rFonts w:hint="eastAsia"/>
                <w:bCs/>
                <w:color w:val="auto"/>
                <w:szCs w:val="21"/>
              </w:rPr>
              <w:t>。</w:t>
            </w:r>
          </w:p>
          <w:p>
            <w:pPr>
              <w:keepNext w:val="0"/>
              <w:keepLines w:val="0"/>
              <w:pageBreakBefore w:val="0"/>
              <w:widowControl w:val="0"/>
              <w:kinsoku/>
              <w:wordWrap/>
              <w:overflowPunct/>
              <w:topLinePunct w:val="0"/>
              <w:autoSpaceDE w:val="0"/>
              <w:autoSpaceDN w:val="0"/>
              <w:bidi w:val="0"/>
              <w:adjustRightInd/>
              <w:snapToGrid w:val="0"/>
              <w:spacing w:line="500" w:lineRule="exact"/>
              <w:jc w:val="center"/>
              <w:textAlignment w:val="auto"/>
              <w:rPr>
                <w:b/>
                <w:snapToGrid w:val="0"/>
                <w:color w:val="auto"/>
                <w:kern w:val="0"/>
                <w:szCs w:val="21"/>
              </w:rPr>
            </w:pPr>
            <w:r>
              <w:rPr>
                <w:b/>
                <w:snapToGrid w:val="0"/>
                <w:color w:val="auto"/>
                <w:kern w:val="0"/>
                <w:szCs w:val="21"/>
              </w:rPr>
              <w:t>表</w:t>
            </w:r>
            <w:r>
              <w:rPr>
                <w:rFonts w:hint="eastAsia"/>
                <w:b/>
                <w:snapToGrid w:val="0"/>
                <w:color w:val="auto"/>
                <w:kern w:val="0"/>
                <w:szCs w:val="21"/>
              </w:rPr>
              <w:t>4-</w:t>
            </w:r>
            <w:r>
              <w:rPr>
                <w:rFonts w:hint="eastAsia"/>
                <w:b/>
                <w:snapToGrid w:val="0"/>
                <w:color w:val="auto"/>
                <w:kern w:val="0"/>
                <w:szCs w:val="21"/>
                <w:lang w:val="en-US" w:eastAsia="zh-CN"/>
              </w:rPr>
              <w:t xml:space="preserve">18 </w:t>
            </w:r>
            <w:r>
              <w:rPr>
                <w:b/>
                <w:snapToGrid w:val="0"/>
                <w:color w:val="auto"/>
                <w:kern w:val="0"/>
                <w:szCs w:val="21"/>
              </w:rPr>
              <w:t>建设项目危险废物贮存场所（设施）基本情况表</w:t>
            </w:r>
          </w:p>
          <w:tbl>
            <w:tblPr>
              <w:tblStyle w:val="11"/>
              <w:tblW w:w="779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54"/>
              <w:gridCol w:w="982"/>
              <w:gridCol w:w="974"/>
              <w:gridCol w:w="696"/>
              <w:gridCol w:w="974"/>
              <w:gridCol w:w="577"/>
              <w:gridCol w:w="677"/>
              <w:gridCol w:w="972"/>
              <w:gridCol w:w="696"/>
              <w:gridCol w:w="6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554"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序号</w:t>
                  </w:r>
                </w:p>
              </w:tc>
              <w:tc>
                <w:tcPr>
                  <w:tcW w:w="982" w:type="dxa"/>
                  <w:noWrap w:val="0"/>
                  <w:vAlign w:val="center"/>
                </w:tcPr>
                <w:p>
                  <w:pPr>
                    <w:autoSpaceDE w:val="0"/>
                    <w:autoSpaceDN w:val="0"/>
                    <w:snapToGrid w:val="0"/>
                    <w:jc w:val="center"/>
                    <w:rPr>
                      <w:b/>
                      <w:bCs/>
                      <w:snapToGrid w:val="0"/>
                      <w:color w:val="auto"/>
                      <w:kern w:val="0"/>
                      <w:sz w:val="18"/>
                      <w:szCs w:val="18"/>
                    </w:rPr>
                  </w:pPr>
                  <w:r>
                    <w:rPr>
                      <w:b/>
                      <w:bCs/>
                      <w:snapToGrid w:val="0"/>
                      <w:color w:val="auto"/>
                      <w:spacing w:val="-11"/>
                      <w:kern w:val="0"/>
                      <w:sz w:val="18"/>
                      <w:szCs w:val="18"/>
                    </w:rPr>
                    <w:t>贮存场所（设施）名称</w:t>
                  </w:r>
                </w:p>
              </w:tc>
              <w:tc>
                <w:tcPr>
                  <w:tcW w:w="974"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危险废物</w:t>
                  </w:r>
                </w:p>
                <w:p>
                  <w:pPr>
                    <w:autoSpaceDE w:val="0"/>
                    <w:autoSpaceDN w:val="0"/>
                    <w:snapToGrid w:val="0"/>
                    <w:jc w:val="center"/>
                    <w:rPr>
                      <w:b/>
                      <w:bCs/>
                      <w:snapToGrid w:val="0"/>
                      <w:color w:val="auto"/>
                      <w:kern w:val="0"/>
                      <w:sz w:val="18"/>
                      <w:szCs w:val="18"/>
                    </w:rPr>
                  </w:pPr>
                  <w:r>
                    <w:rPr>
                      <w:b/>
                      <w:bCs/>
                      <w:snapToGrid w:val="0"/>
                      <w:color w:val="auto"/>
                      <w:kern w:val="0"/>
                      <w:sz w:val="18"/>
                      <w:szCs w:val="18"/>
                    </w:rPr>
                    <w:t>名称</w:t>
                  </w:r>
                </w:p>
              </w:tc>
              <w:tc>
                <w:tcPr>
                  <w:tcW w:w="696"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危险废</w:t>
                  </w:r>
                </w:p>
                <w:p>
                  <w:pPr>
                    <w:autoSpaceDE w:val="0"/>
                    <w:autoSpaceDN w:val="0"/>
                    <w:snapToGrid w:val="0"/>
                    <w:jc w:val="center"/>
                    <w:rPr>
                      <w:b/>
                      <w:bCs/>
                      <w:snapToGrid w:val="0"/>
                      <w:color w:val="auto"/>
                      <w:kern w:val="0"/>
                      <w:sz w:val="18"/>
                      <w:szCs w:val="18"/>
                    </w:rPr>
                  </w:pPr>
                  <w:r>
                    <w:rPr>
                      <w:b/>
                      <w:bCs/>
                      <w:snapToGrid w:val="0"/>
                      <w:color w:val="auto"/>
                      <w:kern w:val="0"/>
                      <w:sz w:val="18"/>
                      <w:szCs w:val="18"/>
                    </w:rPr>
                    <w:t>物类别</w:t>
                  </w:r>
                </w:p>
              </w:tc>
              <w:tc>
                <w:tcPr>
                  <w:tcW w:w="974"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危险废物</w:t>
                  </w:r>
                </w:p>
                <w:p>
                  <w:pPr>
                    <w:autoSpaceDE w:val="0"/>
                    <w:autoSpaceDN w:val="0"/>
                    <w:snapToGrid w:val="0"/>
                    <w:jc w:val="center"/>
                    <w:rPr>
                      <w:b/>
                      <w:bCs/>
                      <w:snapToGrid w:val="0"/>
                      <w:color w:val="auto"/>
                      <w:kern w:val="0"/>
                      <w:sz w:val="18"/>
                      <w:szCs w:val="18"/>
                    </w:rPr>
                  </w:pPr>
                  <w:r>
                    <w:rPr>
                      <w:b/>
                      <w:bCs/>
                      <w:snapToGrid w:val="0"/>
                      <w:color w:val="auto"/>
                      <w:kern w:val="0"/>
                      <w:sz w:val="18"/>
                      <w:szCs w:val="18"/>
                    </w:rPr>
                    <w:t>代码</w:t>
                  </w:r>
                </w:p>
              </w:tc>
              <w:tc>
                <w:tcPr>
                  <w:tcW w:w="577"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位置</w:t>
                  </w:r>
                </w:p>
              </w:tc>
              <w:tc>
                <w:tcPr>
                  <w:tcW w:w="677"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占地</w:t>
                  </w:r>
                </w:p>
                <w:p>
                  <w:pPr>
                    <w:autoSpaceDE w:val="0"/>
                    <w:autoSpaceDN w:val="0"/>
                    <w:snapToGrid w:val="0"/>
                    <w:jc w:val="center"/>
                    <w:rPr>
                      <w:b/>
                      <w:bCs/>
                      <w:snapToGrid w:val="0"/>
                      <w:color w:val="auto"/>
                      <w:kern w:val="0"/>
                      <w:sz w:val="18"/>
                      <w:szCs w:val="18"/>
                    </w:rPr>
                  </w:pPr>
                  <w:r>
                    <w:rPr>
                      <w:b/>
                      <w:bCs/>
                      <w:snapToGrid w:val="0"/>
                      <w:color w:val="auto"/>
                      <w:kern w:val="0"/>
                      <w:sz w:val="18"/>
                      <w:szCs w:val="18"/>
                    </w:rPr>
                    <w:t>面积</w:t>
                  </w:r>
                </w:p>
              </w:tc>
              <w:tc>
                <w:tcPr>
                  <w:tcW w:w="972"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贮存方式</w:t>
                  </w:r>
                </w:p>
              </w:tc>
              <w:tc>
                <w:tcPr>
                  <w:tcW w:w="696"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贮存</w:t>
                  </w:r>
                </w:p>
                <w:p>
                  <w:pPr>
                    <w:autoSpaceDE w:val="0"/>
                    <w:autoSpaceDN w:val="0"/>
                    <w:snapToGrid w:val="0"/>
                    <w:jc w:val="center"/>
                    <w:rPr>
                      <w:b/>
                      <w:bCs/>
                      <w:snapToGrid w:val="0"/>
                      <w:color w:val="auto"/>
                      <w:kern w:val="0"/>
                      <w:sz w:val="18"/>
                      <w:szCs w:val="18"/>
                    </w:rPr>
                  </w:pPr>
                  <w:r>
                    <w:rPr>
                      <w:b/>
                      <w:bCs/>
                      <w:snapToGrid w:val="0"/>
                      <w:color w:val="auto"/>
                      <w:kern w:val="0"/>
                      <w:sz w:val="18"/>
                      <w:szCs w:val="18"/>
                    </w:rPr>
                    <w:t>能力</w:t>
                  </w:r>
                </w:p>
              </w:tc>
              <w:tc>
                <w:tcPr>
                  <w:tcW w:w="692" w:type="dxa"/>
                  <w:noWrap w:val="0"/>
                  <w:vAlign w:val="center"/>
                </w:tcPr>
                <w:p>
                  <w:pPr>
                    <w:autoSpaceDE w:val="0"/>
                    <w:autoSpaceDN w:val="0"/>
                    <w:snapToGrid w:val="0"/>
                    <w:jc w:val="center"/>
                    <w:rPr>
                      <w:b/>
                      <w:bCs/>
                      <w:snapToGrid w:val="0"/>
                      <w:color w:val="auto"/>
                      <w:kern w:val="0"/>
                      <w:sz w:val="18"/>
                      <w:szCs w:val="18"/>
                    </w:rPr>
                  </w:pPr>
                  <w:r>
                    <w:rPr>
                      <w:b/>
                      <w:bCs/>
                      <w:snapToGrid w:val="0"/>
                      <w:color w:val="auto"/>
                      <w:kern w:val="0"/>
                      <w:sz w:val="18"/>
                      <w:szCs w:val="18"/>
                    </w:rPr>
                    <w:t>贮存</w:t>
                  </w:r>
                </w:p>
                <w:p>
                  <w:pPr>
                    <w:autoSpaceDE w:val="0"/>
                    <w:autoSpaceDN w:val="0"/>
                    <w:snapToGrid w:val="0"/>
                    <w:jc w:val="center"/>
                    <w:rPr>
                      <w:b/>
                      <w:bCs/>
                      <w:snapToGrid w:val="0"/>
                      <w:color w:val="auto"/>
                      <w:kern w:val="0"/>
                      <w:sz w:val="18"/>
                      <w:szCs w:val="18"/>
                    </w:rPr>
                  </w:pPr>
                  <w:r>
                    <w:rPr>
                      <w:b/>
                      <w:bCs/>
                      <w:snapToGrid w:val="0"/>
                      <w:color w:val="auto"/>
                      <w:kern w:val="0"/>
                      <w:sz w:val="18"/>
                      <w:szCs w:val="18"/>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554" w:type="dxa"/>
                  <w:noWrap w:val="0"/>
                  <w:vAlign w:val="center"/>
                </w:tcPr>
                <w:p>
                  <w:pPr>
                    <w:autoSpaceDE w:val="0"/>
                    <w:autoSpaceDN w:val="0"/>
                    <w:snapToGrid w:val="0"/>
                    <w:jc w:val="center"/>
                    <w:rPr>
                      <w:rFonts w:hint="default"/>
                      <w:snapToGrid w:val="0"/>
                      <w:color w:val="auto"/>
                      <w:kern w:val="0"/>
                      <w:sz w:val="18"/>
                      <w:szCs w:val="18"/>
                      <w:lang w:val="en-US" w:eastAsia="zh-CN"/>
                    </w:rPr>
                  </w:pPr>
                  <w:r>
                    <w:rPr>
                      <w:rFonts w:hint="eastAsia"/>
                      <w:snapToGrid w:val="0"/>
                      <w:color w:val="auto"/>
                      <w:kern w:val="0"/>
                      <w:sz w:val="18"/>
                      <w:szCs w:val="18"/>
                      <w:lang w:val="en-US" w:eastAsia="zh-CN"/>
                    </w:rPr>
                    <w:t>1</w:t>
                  </w:r>
                </w:p>
              </w:tc>
              <w:tc>
                <w:tcPr>
                  <w:tcW w:w="982" w:type="dxa"/>
                  <w:vMerge w:val="restart"/>
                  <w:noWrap w:val="0"/>
                  <w:vAlign w:val="center"/>
                </w:tcPr>
                <w:p>
                  <w:pPr>
                    <w:autoSpaceDE w:val="0"/>
                    <w:autoSpaceDN w:val="0"/>
                    <w:snapToGrid w:val="0"/>
                    <w:jc w:val="center"/>
                    <w:rPr>
                      <w:rFonts w:hint="eastAsia" w:eastAsia="宋体"/>
                      <w:snapToGrid w:val="0"/>
                      <w:color w:val="auto"/>
                      <w:kern w:val="0"/>
                      <w:sz w:val="18"/>
                      <w:szCs w:val="18"/>
                      <w:lang w:eastAsia="zh-CN"/>
                    </w:rPr>
                  </w:pPr>
                  <w:r>
                    <w:rPr>
                      <w:snapToGrid w:val="0"/>
                      <w:color w:val="auto"/>
                      <w:kern w:val="0"/>
                      <w:sz w:val="18"/>
                      <w:szCs w:val="18"/>
                    </w:rPr>
                    <w:t>危废</w:t>
                  </w:r>
                  <w:r>
                    <w:rPr>
                      <w:rFonts w:hint="eastAsia"/>
                      <w:snapToGrid w:val="0"/>
                      <w:color w:val="auto"/>
                      <w:kern w:val="0"/>
                      <w:sz w:val="18"/>
                      <w:szCs w:val="18"/>
                      <w:lang w:eastAsia="zh-CN"/>
                    </w:rPr>
                    <w:t>库</w:t>
                  </w:r>
                </w:p>
              </w:tc>
              <w:tc>
                <w:tcPr>
                  <w:tcW w:w="974"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废包装桶</w:t>
                  </w:r>
                </w:p>
              </w:tc>
              <w:tc>
                <w:tcPr>
                  <w:tcW w:w="696"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HW49</w:t>
                  </w:r>
                </w:p>
              </w:tc>
              <w:tc>
                <w:tcPr>
                  <w:tcW w:w="974" w:type="dxa"/>
                  <w:noWrap w:val="0"/>
                  <w:vAlign w:val="center"/>
                </w:tcPr>
                <w:p>
                  <w:pPr>
                    <w:autoSpaceDE w:val="0"/>
                    <w:autoSpaceDN w:val="0"/>
                    <w:snapToGrid w:val="0"/>
                    <w:jc w:val="both"/>
                    <w:rPr>
                      <w:rFonts w:hint="eastAsia"/>
                      <w:snapToGrid w:val="0"/>
                      <w:kern w:val="0"/>
                      <w:sz w:val="18"/>
                      <w:szCs w:val="18"/>
                    </w:rPr>
                  </w:pPr>
                  <w:r>
                    <w:rPr>
                      <w:rFonts w:hint="eastAsia"/>
                      <w:snapToGrid w:val="0"/>
                      <w:kern w:val="0"/>
                      <w:sz w:val="18"/>
                      <w:szCs w:val="18"/>
                      <w:lang w:val="en-US" w:eastAsia="zh-CN"/>
                    </w:rPr>
                    <w:t>900-041-49</w:t>
                  </w:r>
                </w:p>
              </w:tc>
              <w:tc>
                <w:tcPr>
                  <w:tcW w:w="577" w:type="dxa"/>
                  <w:vMerge w:val="restart"/>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厂区</w:t>
                  </w:r>
                </w:p>
                <w:p>
                  <w:pPr>
                    <w:autoSpaceDE w:val="0"/>
                    <w:autoSpaceDN w:val="0"/>
                    <w:snapToGrid w:val="0"/>
                    <w:jc w:val="center"/>
                    <w:rPr>
                      <w:rFonts w:hint="default"/>
                      <w:snapToGrid w:val="0"/>
                      <w:color w:val="auto"/>
                      <w:kern w:val="0"/>
                      <w:sz w:val="18"/>
                      <w:szCs w:val="18"/>
                      <w:lang w:val="en-US"/>
                    </w:rPr>
                  </w:pPr>
                  <w:r>
                    <w:rPr>
                      <w:rFonts w:hint="eastAsia"/>
                      <w:snapToGrid w:val="0"/>
                      <w:color w:val="auto"/>
                      <w:kern w:val="0"/>
                      <w:sz w:val="18"/>
                      <w:szCs w:val="18"/>
                      <w:lang w:val="en-US" w:eastAsia="zh-CN"/>
                    </w:rPr>
                    <w:t>西南侧</w:t>
                  </w:r>
                </w:p>
              </w:tc>
              <w:tc>
                <w:tcPr>
                  <w:tcW w:w="677" w:type="dxa"/>
                  <w:vMerge w:val="restart"/>
                  <w:noWrap w:val="0"/>
                  <w:vAlign w:val="center"/>
                </w:tcPr>
                <w:p>
                  <w:pPr>
                    <w:autoSpaceDE w:val="0"/>
                    <w:autoSpaceDN w:val="0"/>
                    <w:snapToGrid w:val="0"/>
                    <w:jc w:val="center"/>
                    <w:rPr>
                      <w:snapToGrid w:val="0"/>
                      <w:color w:val="auto"/>
                      <w:kern w:val="0"/>
                      <w:sz w:val="18"/>
                      <w:szCs w:val="18"/>
                    </w:rPr>
                  </w:pPr>
                  <w:r>
                    <w:rPr>
                      <w:rFonts w:hint="eastAsia"/>
                      <w:snapToGrid w:val="0"/>
                      <w:color w:val="auto"/>
                      <w:kern w:val="0"/>
                      <w:sz w:val="18"/>
                      <w:szCs w:val="18"/>
                      <w:lang w:val="en-US" w:eastAsia="zh-CN"/>
                    </w:rPr>
                    <w:t>3.5</w:t>
                  </w:r>
                  <w:r>
                    <w:rPr>
                      <w:snapToGrid w:val="0"/>
                      <w:color w:val="auto"/>
                      <w:kern w:val="0"/>
                      <w:sz w:val="18"/>
                      <w:szCs w:val="18"/>
                    </w:rPr>
                    <w:t>m</w:t>
                  </w:r>
                  <w:r>
                    <w:rPr>
                      <w:snapToGrid w:val="0"/>
                      <w:color w:val="auto"/>
                      <w:kern w:val="0"/>
                      <w:sz w:val="18"/>
                      <w:szCs w:val="18"/>
                      <w:vertAlign w:val="superscript"/>
                    </w:rPr>
                    <w:t>2</w:t>
                  </w:r>
                </w:p>
              </w:tc>
              <w:tc>
                <w:tcPr>
                  <w:tcW w:w="972" w:type="dxa"/>
                  <w:noWrap w:val="0"/>
                  <w:vAlign w:val="center"/>
                </w:tcPr>
                <w:p>
                  <w:pPr>
                    <w:autoSpaceDE w:val="0"/>
                    <w:autoSpaceDN w:val="0"/>
                    <w:snapToGrid w:val="0"/>
                    <w:jc w:val="center"/>
                    <w:rPr>
                      <w:rFonts w:hint="eastAsia" w:eastAsia="宋体"/>
                      <w:snapToGrid w:val="0"/>
                      <w:color w:val="auto"/>
                      <w:kern w:val="0"/>
                      <w:sz w:val="18"/>
                      <w:szCs w:val="18"/>
                      <w:lang w:eastAsia="zh-CN"/>
                    </w:rPr>
                  </w:pPr>
                  <w:r>
                    <w:rPr>
                      <w:rFonts w:hint="eastAsia"/>
                      <w:snapToGrid w:val="0"/>
                      <w:color w:val="auto"/>
                      <w:kern w:val="0"/>
                      <w:sz w:val="18"/>
                      <w:szCs w:val="18"/>
                      <w:lang w:eastAsia="zh-CN"/>
                    </w:rPr>
                    <w:t>密闭</w:t>
                  </w:r>
                </w:p>
              </w:tc>
              <w:tc>
                <w:tcPr>
                  <w:tcW w:w="696"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0.24</w:t>
                  </w:r>
                  <w:r>
                    <w:rPr>
                      <w:snapToGrid w:val="0"/>
                      <w:color w:val="auto"/>
                      <w:kern w:val="0"/>
                      <w:sz w:val="18"/>
                      <w:szCs w:val="18"/>
                    </w:rPr>
                    <w:t>t/a</w:t>
                  </w:r>
                </w:p>
              </w:tc>
              <w:tc>
                <w:tcPr>
                  <w:tcW w:w="692" w:type="dxa"/>
                  <w:vMerge w:val="restart"/>
                  <w:noWrap w:val="0"/>
                  <w:vAlign w:val="center"/>
                </w:tcPr>
                <w:p>
                  <w:pPr>
                    <w:autoSpaceDE w:val="0"/>
                    <w:autoSpaceDN w:val="0"/>
                    <w:snapToGrid w:val="0"/>
                    <w:jc w:val="center"/>
                    <w:rPr>
                      <w:snapToGrid w:val="0"/>
                      <w:color w:val="auto"/>
                      <w:kern w:val="0"/>
                      <w:sz w:val="18"/>
                      <w:szCs w:val="18"/>
                    </w:rPr>
                  </w:pPr>
                  <w:r>
                    <w:rPr>
                      <w:snapToGrid w:val="0"/>
                      <w:color w:val="auto"/>
                      <w:kern w:val="0"/>
                      <w:sz w:val="18"/>
                      <w:szCs w:val="18"/>
                    </w:rPr>
                    <w:t>90天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54" w:type="dxa"/>
                  <w:noWrap w:val="0"/>
                  <w:vAlign w:val="center"/>
                </w:tcPr>
                <w:p>
                  <w:pPr>
                    <w:autoSpaceDE w:val="0"/>
                    <w:autoSpaceDN w:val="0"/>
                    <w:snapToGrid w:val="0"/>
                    <w:jc w:val="center"/>
                    <w:rPr>
                      <w:rFonts w:hint="default"/>
                      <w:snapToGrid w:val="0"/>
                      <w:color w:val="auto"/>
                      <w:kern w:val="0"/>
                      <w:sz w:val="18"/>
                      <w:szCs w:val="18"/>
                      <w:lang w:val="en-US" w:eastAsia="zh-CN"/>
                    </w:rPr>
                  </w:pPr>
                  <w:r>
                    <w:rPr>
                      <w:rFonts w:hint="eastAsia"/>
                      <w:snapToGrid w:val="0"/>
                      <w:color w:val="auto"/>
                      <w:kern w:val="0"/>
                      <w:sz w:val="18"/>
                      <w:szCs w:val="18"/>
                      <w:lang w:val="en-US" w:eastAsia="zh-CN"/>
                    </w:rPr>
                    <w:t>2</w:t>
                  </w:r>
                </w:p>
              </w:tc>
              <w:tc>
                <w:tcPr>
                  <w:tcW w:w="982" w:type="dxa"/>
                  <w:vMerge w:val="continue"/>
                  <w:noWrap w:val="0"/>
                  <w:vAlign w:val="center"/>
                </w:tcPr>
                <w:p>
                  <w:pPr>
                    <w:autoSpaceDE w:val="0"/>
                    <w:autoSpaceDN w:val="0"/>
                    <w:snapToGrid w:val="0"/>
                    <w:jc w:val="center"/>
                    <w:rPr>
                      <w:snapToGrid w:val="0"/>
                      <w:color w:val="auto"/>
                      <w:kern w:val="0"/>
                      <w:sz w:val="18"/>
                      <w:szCs w:val="18"/>
                    </w:rPr>
                  </w:pPr>
                </w:p>
              </w:tc>
              <w:tc>
                <w:tcPr>
                  <w:tcW w:w="974"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污泥</w:t>
                  </w:r>
                </w:p>
              </w:tc>
              <w:tc>
                <w:tcPr>
                  <w:tcW w:w="696" w:type="dxa"/>
                  <w:noWrap w:val="0"/>
                  <w:vAlign w:val="center"/>
                </w:tcPr>
                <w:p>
                  <w:pPr>
                    <w:jc w:val="center"/>
                    <w:rPr>
                      <w:rFonts w:hint="eastAsia"/>
                      <w:snapToGrid w:val="0"/>
                      <w:color w:val="auto"/>
                      <w:kern w:val="0"/>
                      <w:sz w:val="18"/>
                      <w:szCs w:val="18"/>
                      <w:lang w:val="en-US" w:eastAsia="zh-CN"/>
                    </w:rPr>
                  </w:pPr>
                  <w:r>
                    <w:rPr>
                      <w:rFonts w:hint="eastAsia"/>
                      <w:sz w:val="18"/>
                      <w:szCs w:val="18"/>
                      <w:lang w:val="en-US" w:eastAsia="zh-CN"/>
                    </w:rPr>
                    <w:t>HW49</w:t>
                  </w:r>
                </w:p>
              </w:tc>
              <w:tc>
                <w:tcPr>
                  <w:tcW w:w="974" w:type="dxa"/>
                  <w:noWrap w:val="0"/>
                  <w:vAlign w:val="center"/>
                </w:tcPr>
                <w:p>
                  <w:pPr>
                    <w:jc w:val="both"/>
                    <w:rPr>
                      <w:rFonts w:hint="eastAsia"/>
                      <w:snapToGrid w:val="0"/>
                      <w:kern w:val="0"/>
                      <w:sz w:val="18"/>
                      <w:szCs w:val="18"/>
                    </w:rPr>
                  </w:pPr>
                  <w:r>
                    <w:rPr>
                      <w:rFonts w:hint="eastAsia"/>
                      <w:sz w:val="18"/>
                      <w:szCs w:val="18"/>
                    </w:rPr>
                    <w:t>772-006-49</w:t>
                  </w:r>
                </w:p>
              </w:tc>
              <w:tc>
                <w:tcPr>
                  <w:tcW w:w="577" w:type="dxa"/>
                  <w:vMerge w:val="continue"/>
                  <w:noWrap w:val="0"/>
                  <w:vAlign w:val="center"/>
                </w:tcPr>
                <w:p>
                  <w:pPr>
                    <w:autoSpaceDE w:val="0"/>
                    <w:autoSpaceDN w:val="0"/>
                    <w:snapToGrid w:val="0"/>
                    <w:jc w:val="center"/>
                    <w:rPr>
                      <w:rFonts w:hint="eastAsia"/>
                      <w:snapToGrid w:val="0"/>
                      <w:color w:val="auto"/>
                      <w:kern w:val="0"/>
                      <w:sz w:val="18"/>
                      <w:szCs w:val="18"/>
                      <w:lang w:val="en-US" w:eastAsia="zh-CN"/>
                    </w:rPr>
                  </w:pPr>
                </w:p>
              </w:tc>
              <w:tc>
                <w:tcPr>
                  <w:tcW w:w="677" w:type="dxa"/>
                  <w:vMerge w:val="continue"/>
                  <w:noWrap w:val="0"/>
                  <w:vAlign w:val="center"/>
                </w:tcPr>
                <w:p>
                  <w:pPr>
                    <w:autoSpaceDE w:val="0"/>
                    <w:autoSpaceDN w:val="0"/>
                    <w:snapToGrid w:val="0"/>
                    <w:jc w:val="center"/>
                    <w:rPr>
                      <w:rFonts w:hint="eastAsia"/>
                      <w:snapToGrid w:val="0"/>
                      <w:color w:val="auto"/>
                      <w:kern w:val="0"/>
                      <w:sz w:val="18"/>
                      <w:szCs w:val="18"/>
                      <w:lang w:val="en-US" w:eastAsia="zh-CN"/>
                    </w:rPr>
                  </w:pPr>
                </w:p>
              </w:tc>
              <w:tc>
                <w:tcPr>
                  <w:tcW w:w="972" w:type="dxa"/>
                  <w:noWrap w:val="0"/>
                  <w:vAlign w:val="center"/>
                </w:tcPr>
                <w:p>
                  <w:pPr>
                    <w:autoSpaceDE w:val="0"/>
                    <w:autoSpaceDN w:val="0"/>
                    <w:snapToGrid w:val="0"/>
                    <w:jc w:val="center"/>
                    <w:rPr>
                      <w:rFonts w:hint="eastAsia" w:eastAsia="宋体"/>
                      <w:snapToGrid w:val="0"/>
                      <w:color w:val="auto"/>
                      <w:kern w:val="0"/>
                      <w:sz w:val="18"/>
                      <w:szCs w:val="18"/>
                      <w:lang w:eastAsia="zh-CN"/>
                    </w:rPr>
                  </w:pPr>
                  <w:r>
                    <w:rPr>
                      <w:rFonts w:hint="eastAsia"/>
                      <w:snapToGrid w:val="0"/>
                      <w:color w:val="auto"/>
                      <w:kern w:val="0"/>
                      <w:sz w:val="18"/>
                      <w:szCs w:val="18"/>
                      <w:lang w:eastAsia="zh-CN"/>
                    </w:rPr>
                    <w:t>密闭</w:t>
                  </w:r>
                </w:p>
              </w:tc>
              <w:tc>
                <w:tcPr>
                  <w:tcW w:w="696" w:type="dxa"/>
                  <w:noWrap w:val="0"/>
                  <w:vAlign w:val="center"/>
                </w:tcPr>
                <w:p>
                  <w:pPr>
                    <w:autoSpaceDE w:val="0"/>
                    <w:autoSpaceDN w:val="0"/>
                    <w:snapToGrid w:val="0"/>
                    <w:jc w:val="center"/>
                    <w:rPr>
                      <w:rFonts w:hint="eastAsia"/>
                      <w:snapToGrid w:val="0"/>
                      <w:color w:val="auto"/>
                      <w:kern w:val="0"/>
                      <w:sz w:val="18"/>
                      <w:szCs w:val="18"/>
                      <w:lang w:val="en-US" w:eastAsia="zh-CN"/>
                    </w:rPr>
                  </w:pPr>
                  <w:r>
                    <w:rPr>
                      <w:rFonts w:hint="eastAsia"/>
                      <w:snapToGrid w:val="0"/>
                      <w:color w:val="auto"/>
                      <w:kern w:val="0"/>
                      <w:sz w:val="18"/>
                      <w:szCs w:val="18"/>
                      <w:lang w:val="en-US" w:eastAsia="zh-CN"/>
                    </w:rPr>
                    <w:t>0.75</w:t>
                  </w:r>
                  <w:r>
                    <w:rPr>
                      <w:snapToGrid w:val="0"/>
                      <w:color w:val="auto"/>
                      <w:kern w:val="0"/>
                      <w:sz w:val="18"/>
                      <w:szCs w:val="18"/>
                    </w:rPr>
                    <w:t>t/a</w:t>
                  </w:r>
                </w:p>
              </w:tc>
              <w:tc>
                <w:tcPr>
                  <w:tcW w:w="692" w:type="dxa"/>
                  <w:vMerge w:val="continue"/>
                  <w:noWrap w:val="0"/>
                  <w:vAlign w:val="center"/>
                </w:tcPr>
                <w:p>
                  <w:pPr>
                    <w:autoSpaceDE w:val="0"/>
                    <w:autoSpaceDN w:val="0"/>
                    <w:snapToGrid w:val="0"/>
                    <w:jc w:val="center"/>
                    <w:rPr>
                      <w:snapToGrid w:val="0"/>
                      <w:color w:val="auto"/>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4" w:type="dxa"/>
                  <w:noWrap w:val="0"/>
                  <w:vAlign w:val="center"/>
                </w:tcPr>
                <w:p>
                  <w:pPr>
                    <w:autoSpaceDE w:val="0"/>
                    <w:autoSpaceDN w:val="0"/>
                    <w:snapToGrid w:val="0"/>
                    <w:jc w:val="center"/>
                    <w:rPr>
                      <w:rFonts w:hint="default" w:eastAsia="宋体"/>
                      <w:snapToGrid w:val="0"/>
                      <w:color w:val="auto"/>
                      <w:kern w:val="0"/>
                      <w:sz w:val="18"/>
                      <w:szCs w:val="18"/>
                      <w:lang w:val="en-US" w:eastAsia="zh-CN"/>
                    </w:rPr>
                  </w:pPr>
                  <w:r>
                    <w:rPr>
                      <w:rFonts w:hint="eastAsia"/>
                      <w:snapToGrid w:val="0"/>
                      <w:color w:val="auto"/>
                      <w:kern w:val="0"/>
                      <w:sz w:val="18"/>
                      <w:szCs w:val="18"/>
                      <w:lang w:val="en-US" w:eastAsia="zh-CN"/>
                    </w:rPr>
                    <w:t>3</w:t>
                  </w:r>
                </w:p>
              </w:tc>
              <w:tc>
                <w:tcPr>
                  <w:tcW w:w="982" w:type="dxa"/>
                  <w:vMerge w:val="continue"/>
                  <w:noWrap w:val="0"/>
                  <w:vAlign w:val="center"/>
                </w:tcPr>
                <w:p>
                  <w:pPr>
                    <w:autoSpaceDE w:val="0"/>
                    <w:autoSpaceDN w:val="0"/>
                    <w:snapToGrid w:val="0"/>
                    <w:jc w:val="center"/>
                    <w:rPr>
                      <w:snapToGrid w:val="0"/>
                      <w:color w:val="auto"/>
                      <w:kern w:val="0"/>
                      <w:sz w:val="18"/>
                      <w:szCs w:val="18"/>
                    </w:rPr>
                  </w:pPr>
                </w:p>
              </w:tc>
              <w:tc>
                <w:tcPr>
                  <w:tcW w:w="974" w:type="dxa"/>
                  <w:noWrap w:val="0"/>
                  <w:vAlign w:val="center"/>
                </w:tcPr>
                <w:p>
                  <w:pPr>
                    <w:jc w:val="center"/>
                    <w:rPr>
                      <w:snapToGrid w:val="0"/>
                      <w:color w:val="auto"/>
                      <w:kern w:val="0"/>
                      <w:sz w:val="18"/>
                      <w:szCs w:val="18"/>
                    </w:rPr>
                  </w:pPr>
                  <w:r>
                    <w:rPr>
                      <w:rFonts w:hint="eastAsia"/>
                      <w:color w:val="auto"/>
                      <w:sz w:val="18"/>
                      <w:szCs w:val="18"/>
                      <w:lang w:val="en-US" w:eastAsia="zh-CN"/>
                    </w:rPr>
                    <w:t>废水在线监控设备废液</w:t>
                  </w:r>
                </w:p>
              </w:tc>
              <w:tc>
                <w:tcPr>
                  <w:tcW w:w="696" w:type="dxa"/>
                  <w:noWrap w:val="0"/>
                  <w:vAlign w:val="center"/>
                </w:tcPr>
                <w:p>
                  <w:pPr>
                    <w:autoSpaceDE w:val="0"/>
                    <w:autoSpaceDN w:val="0"/>
                    <w:snapToGrid w:val="0"/>
                    <w:jc w:val="center"/>
                    <w:rPr>
                      <w:snapToGrid w:val="0"/>
                      <w:color w:val="auto"/>
                      <w:kern w:val="0"/>
                      <w:sz w:val="18"/>
                      <w:szCs w:val="18"/>
                    </w:rPr>
                  </w:pPr>
                  <w:r>
                    <w:rPr>
                      <w:rFonts w:hint="eastAsia"/>
                      <w:snapToGrid w:val="0"/>
                      <w:color w:val="auto"/>
                      <w:kern w:val="0"/>
                      <w:sz w:val="18"/>
                      <w:szCs w:val="18"/>
                      <w:lang w:val="en-US" w:eastAsia="zh-CN"/>
                    </w:rPr>
                    <w:t>HW49</w:t>
                  </w:r>
                </w:p>
              </w:tc>
              <w:tc>
                <w:tcPr>
                  <w:tcW w:w="974" w:type="dxa"/>
                  <w:noWrap w:val="0"/>
                  <w:vAlign w:val="center"/>
                </w:tcPr>
                <w:p>
                  <w:pPr>
                    <w:autoSpaceDE w:val="0"/>
                    <w:autoSpaceDN w:val="0"/>
                    <w:snapToGrid w:val="0"/>
                    <w:jc w:val="center"/>
                    <w:rPr>
                      <w:snapToGrid w:val="0"/>
                      <w:color w:val="auto"/>
                      <w:kern w:val="0"/>
                      <w:sz w:val="18"/>
                      <w:szCs w:val="18"/>
                    </w:rPr>
                  </w:pPr>
                  <w:r>
                    <w:rPr>
                      <w:rFonts w:hint="eastAsia"/>
                      <w:snapToGrid w:val="0"/>
                      <w:kern w:val="0"/>
                      <w:sz w:val="18"/>
                      <w:szCs w:val="18"/>
                    </w:rPr>
                    <w:t>900-047-49</w:t>
                  </w:r>
                </w:p>
              </w:tc>
              <w:tc>
                <w:tcPr>
                  <w:tcW w:w="577" w:type="dxa"/>
                  <w:vMerge w:val="continue"/>
                  <w:noWrap w:val="0"/>
                  <w:vAlign w:val="center"/>
                </w:tcPr>
                <w:p>
                  <w:pPr>
                    <w:autoSpaceDE w:val="0"/>
                    <w:autoSpaceDN w:val="0"/>
                    <w:snapToGrid w:val="0"/>
                    <w:jc w:val="center"/>
                    <w:rPr>
                      <w:rFonts w:hint="default"/>
                      <w:snapToGrid w:val="0"/>
                      <w:color w:val="auto"/>
                      <w:kern w:val="0"/>
                      <w:sz w:val="18"/>
                      <w:szCs w:val="18"/>
                      <w:lang w:val="en-US"/>
                    </w:rPr>
                  </w:pPr>
                </w:p>
              </w:tc>
              <w:tc>
                <w:tcPr>
                  <w:tcW w:w="677" w:type="dxa"/>
                  <w:vMerge w:val="continue"/>
                  <w:noWrap w:val="0"/>
                  <w:vAlign w:val="center"/>
                </w:tcPr>
                <w:p>
                  <w:pPr>
                    <w:autoSpaceDE w:val="0"/>
                    <w:autoSpaceDN w:val="0"/>
                    <w:snapToGrid w:val="0"/>
                    <w:jc w:val="center"/>
                    <w:rPr>
                      <w:snapToGrid w:val="0"/>
                      <w:color w:val="auto"/>
                      <w:kern w:val="0"/>
                      <w:sz w:val="18"/>
                      <w:szCs w:val="18"/>
                    </w:rPr>
                  </w:pPr>
                </w:p>
              </w:tc>
              <w:tc>
                <w:tcPr>
                  <w:tcW w:w="972" w:type="dxa"/>
                  <w:noWrap w:val="0"/>
                  <w:vAlign w:val="center"/>
                </w:tcPr>
                <w:p>
                  <w:pPr>
                    <w:autoSpaceDE w:val="0"/>
                    <w:autoSpaceDN w:val="0"/>
                    <w:snapToGrid w:val="0"/>
                    <w:jc w:val="center"/>
                    <w:rPr>
                      <w:snapToGrid w:val="0"/>
                      <w:color w:val="auto"/>
                      <w:kern w:val="0"/>
                      <w:sz w:val="18"/>
                      <w:szCs w:val="18"/>
                    </w:rPr>
                  </w:pPr>
                  <w:r>
                    <w:rPr>
                      <w:snapToGrid w:val="0"/>
                      <w:color w:val="auto"/>
                      <w:kern w:val="0"/>
                      <w:sz w:val="18"/>
                      <w:szCs w:val="18"/>
                    </w:rPr>
                    <w:t>密闭</w:t>
                  </w:r>
                </w:p>
              </w:tc>
              <w:tc>
                <w:tcPr>
                  <w:tcW w:w="696" w:type="dxa"/>
                  <w:noWrap w:val="0"/>
                  <w:vAlign w:val="center"/>
                </w:tcPr>
                <w:p>
                  <w:pPr>
                    <w:autoSpaceDE w:val="0"/>
                    <w:autoSpaceDN w:val="0"/>
                    <w:snapToGrid w:val="0"/>
                    <w:jc w:val="center"/>
                    <w:rPr>
                      <w:rFonts w:hint="eastAsia"/>
                      <w:snapToGrid w:val="0"/>
                      <w:color w:val="auto"/>
                      <w:kern w:val="0"/>
                      <w:sz w:val="18"/>
                      <w:szCs w:val="18"/>
                    </w:rPr>
                  </w:pPr>
                  <w:r>
                    <w:rPr>
                      <w:rFonts w:hint="eastAsia"/>
                      <w:snapToGrid w:val="0"/>
                      <w:color w:val="auto"/>
                      <w:kern w:val="0"/>
                      <w:sz w:val="18"/>
                      <w:szCs w:val="18"/>
                      <w:lang w:val="en-US" w:eastAsia="zh-CN"/>
                    </w:rPr>
                    <w:t>1</w:t>
                  </w:r>
                  <w:r>
                    <w:rPr>
                      <w:snapToGrid w:val="0"/>
                      <w:color w:val="auto"/>
                      <w:kern w:val="0"/>
                      <w:sz w:val="18"/>
                      <w:szCs w:val="18"/>
                    </w:rPr>
                    <w:t>t/a</w:t>
                  </w:r>
                </w:p>
              </w:tc>
              <w:tc>
                <w:tcPr>
                  <w:tcW w:w="692" w:type="dxa"/>
                  <w:vMerge w:val="continue"/>
                  <w:noWrap w:val="0"/>
                  <w:vAlign w:val="center"/>
                </w:tcPr>
                <w:p>
                  <w:pPr>
                    <w:autoSpaceDE w:val="0"/>
                    <w:autoSpaceDN w:val="0"/>
                    <w:snapToGrid w:val="0"/>
                    <w:jc w:val="center"/>
                    <w:rPr>
                      <w:snapToGrid w:val="0"/>
                      <w:color w:val="auto"/>
                      <w:kern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bCs/>
                <w:color w:val="auto"/>
                <w:szCs w:val="21"/>
              </w:rPr>
            </w:pPr>
            <w:r>
              <w:rPr>
                <w:rFonts w:hint="eastAsia"/>
                <w:bCs/>
                <w:color w:val="auto"/>
                <w:szCs w:val="21"/>
                <w:lang w:eastAsia="zh-CN"/>
              </w:rPr>
              <w:t>（</w:t>
            </w:r>
            <w:r>
              <w:rPr>
                <w:rFonts w:hint="eastAsia"/>
                <w:bCs/>
                <w:color w:val="auto"/>
                <w:szCs w:val="21"/>
                <w:lang w:val="en-US" w:eastAsia="zh-CN"/>
              </w:rPr>
              <w:t>2）</w:t>
            </w:r>
            <w:r>
              <w:rPr>
                <w:rFonts w:hint="eastAsia"/>
                <w:bCs/>
                <w:color w:val="auto"/>
                <w:szCs w:val="21"/>
              </w:rPr>
              <w:t>固体废物贮存、处置情况</w:t>
            </w:r>
          </w:p>
          <w:p>
            <w:pPr>
              <w:adjustRightInd w:val="0"/>
              <w:snapToGrid w:val="0"/>
              <w:spacing w:line="5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（1）一般工业固废贮存场所（设施）情况</w:t>
            </w:r>
          </w:p>
          <w:p>
            <w:pPr>
              <w:adjustRightInd w:val="0"/>
              <w:snapToGrid w:val="0"/>
              <w:spacing w:line="5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项目产生的</w:t>
            </w:r>
            <w:r>
              <w:rPr>
                <w:rFonts w:hint="eastAsia" w:ascii="Times New Roman" w:hAnsi="Times New Roman" w:eastAsia="宋体" w:cs="Times New Roman"/>
                <w:bCs/>
                <w:color w:val="auto"/>
                <w:szCs w:val="21"/>
                <w:highlight w:val="none"/>
                <w:lang w:eastAsia="zh-CN"/>
              </w:rPr>
              <w:t>废纱、不合格品</w:t>
            </w:r>
            <w:r>
              <w:rPr>
                <w:rFonts w:hint="default"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lang w:eastAsia="zh-CN"/>
              </w:rPr>
              <w:t>废包装桶、</w:t>
            </w:r>
            <w:r>
              <w:rPr>
                <w:rFonts w:hint="default" w:ascii="Times New Roman" w:hAnsi="Times New Roman" w:eastAsia="宋体" w:cs="Times New Roman"/>
                <w:bCs/>
                <w:color w:val="auto"/>
                <w:szCs w:val="21"/>
                <w:highlight w:val="none"/>
              </w:rPr>
              <w:t>污泥属于一般工业固废，废纱、不合格品收集后出售，</w:t>
            </w:r>
            <w:r>
              <w:rPr>
                <w:rFonts w:hint="eastAsia" w:ascii="Times New Roman" w:hAnsi="Times New Roman" w:eastAsia="宋体" w:cs="Times New Roman"/>
                <w:bCs/>
                <w:color w:val="auto"/>
                <w:szCs w:val="21"/>
                <w:highlight w:val="none"/>
                <w:lang w:eastAsia="zh-CN"/>
              </w:rPr>
              <w:t>废包装桶</w:t>
            </w:r>
            <w:r>
              <w:rPr>
                <w:rFonts w:hint="default" w:ascii="Times New Roman" w:hAnsi="Times New Roman" w:eastAsia="宋体" w:cs="Times New Roman"/>
                <w:bCs/>
                <w:color w:val="auto"/>
                <w:szCs w:val="21"/>
                <w:highlight w:val="none"/>
              </w:rPr>
              <w:t>由</w:t>
            </w:r>
            <w:r>
              <w:rPr>
                <w:rFonts w:hint="eastAsia" w:ascii="Times New Roman" w:hAnsi="Times New Roman" w:eastAsia="宋体" w:cs="Times New Roman"/>
                <w:bCs/>
                <w:color w:val="auto"/>
                <w:szCs w:val="21"/>
                <w:highlight w:val="none"/>
                <w:lang w:eastAsia="zh-CN"/>
              </w:rPr>
              <w:t>原料</w:t>
            </w:r>
            <w:r>
              <w:rPr>
                <w:rFonts w:hint="default" w:ascii="Times New Roman" w:hAnsi="Times New Roman" w:eastAsia="宋体" w:cs="Times New Roman"/>
                <w:bCs/>
                <w:color w:val="auto"/>
                <w:szCs w:val="21"/>
                <w:highlight w:val="none"/>
              </w:rPr>
              <w:t>厂家回收，污泥委托污泥处置单位处置；一般工业固废暂存场</w:t>
            </w:r>
            <w:r>
              <w:rPr>
                <w:rFonts w:hint="eastAsia" w:ascii="Times New Roman" w:hAnsi="Times New Roman" w:eastAsia="宋体" w:cs="Times New Roman"/>
                <w:bCs/>
                <w:color w:val="auto"/>
                <w:szCs w:val="21"/>
                <w:highlight w:val="none"/>
                <w:lang w:eastAsia="zh-CN"/>
              </w:rPr>
              <w:t>依托现有，现有一般固废场所已</w:t>
            </w:r>
            <w:r>
              <w:rPr>
                <w:rFonts w:hint="default" w:ascii="Times New Roman" w:hAnsi="Times New Roman" w:eastAsia="宋体" w:cs="Times New Roman"/>
                <w:bCs/>
                <w:color w:val="auto"/>
                <w:szCs w:val="21"/>
                <w:highlight w:val="none"/>
              </w:rPr>
              <w:t>按照《一般工业固体废物贮存和填埋污染控制标准》（GB18599-2020）要求建设，对一般固废堆放区地面进行了硬化，并做好防腐、防渗和防漏处理，制定了“一般固废仓库管理制度”、“一般工业固废处置管理规定”，由专人维护。因此，项目一般工业固废的收集、贮存对环境的影响较小。</w:t>
            </w:r>
          </w:p>
          <w:p>
            <w:pPr>
              <w:adjustRightInd w:val="0"/>
              <w:snapToGrid w:val="0"/>
              <w:spacing w:line="5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（2）危险废物贮存场所（设施）情况</w:t>
            </w:r>
          </w:p>
          <w:p>
            <w:pPr>
              <w:adjustRightInd w:val="0"/>
              <w:snapToGrid w:val="0"/>
              <w:spacing w:line="5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项目产生的危险固废为</w:t>
            </w:r>
            <w:r>
              <w:rPr>
                <w:rFonts w:hint="eastAsia" w:ascii="Times New Roman" w:hAnsi="Times New Roman" w:eastAsia="宋体" w:cs="Times New Roman"/>
                <w:bCs/>
                <w:color w:val="auto"/>
                <w:szCs w:val="21"/>
                <w:highlight w:val="none"/>
                <w:lang w:eastAsia="zh-CN"/>
              </w:rPr>
              <w:t>在线监测废液</w:t>
            </w:r>
            <w:r>
              <w:rPr>
                <w:rFonts w:hint="default" w:ascii="Times New Roman" w:hAnsi="Times New Roman" w:eastAsia="宋体" w:cs="Times New Roman"/>
                <w:bCs/>
                <w:color w:val="auto"/>
                <w:szCs w:val="21"/>
                <w:highlight w:val="none"/>
              </w:rPr>
              <w:t>，危险废物均在各产污环节点做到分类收集和贮存，避免混入生活垃圾中。在运出厂区之前暂存在专门的危废暂存区内。项目</w:t>
            </w:r>
            <w:r>
              <w:rPr>
                <w:rFonts w:hint="eastAsia" w:ascii="Times New Roman" w:hAnsi="Times New Roman" w:eastAsia="宋体" w:cs="Times New Roman"/>
                <w:bCs/>
                <w:color w:val="auto"/>
                <w:szCs w:val="21"/>
                <w:highlight w:val="none"/>
                <w:lang w:eastAsia="zh-CN"/>
              </w:rPr>
              <w:t>依托已建的</w:t>
            </w:r>
            <w:r>
              <w:rPr>
                <w:rFonts w:hint="default" w:ascii="Times New Roman" w:hAnsi="Times New Roman" w:eastAsia="宋体" w:cs="Times New Roman"/>
                <w:bCs/>
                <w:color w:val="auto"/>
                <w:szCs w:val="21"/>
                <w:highlight w:val="none"/>
              </w:rPr>
              <w:t>危险废物贮存场所，占地面积为</w:t>
            </w:r>
            <w:r>
              <w:rPr>
                <w:rFonts w:hint="eastAsia" w:ascii="Times New Roman" w:hAnsi="Times New Roman" w:eastAsia="宋体" w:cs="Times New Roman"/>
                <w:bCs/>
                <w:color w:val="auto"/>
                <w:szCs w:val="21"/>
                <w:highlight w:val="none"/>
                <w:lang w:val="en-US" w:eastAsia="zh-CN"/>
              </w:rPr>
              <w:t>3.5</w:t>
            </w:r>
            <w:r>
              <w:rPr>
                <w:rFonts w:hint="default" w:ascii="Times New Roman" w:hAnsi="Times New Roman" w:eastAsia="宋体" w:cs="Times New Roman"/>
                <w:bCs/>
                <w:color w:val="auto"/>
                <w:szCs w:val="21"/>
                <w:highlight w:val="none"/>
              </w:rPr>
              <w:t>m</w:t>
            </w:r>
            <w:r>
              <w:rPr>
                <w:rFonts w:hint="default" w:ascii="Times New Roman" w:hAnsi="Times New Roman" w:eastAsia="宋体" w:cs="Times New Roman"/>
                <w:bCs/>
                <w:color w:val="auto"/>
                <w:szCs w:val="21"/>
                <w:highlight w:val="none"/>
                <w:vertAlign w:val="superscript"/>
              </w:rPr>
              <w:t>2</w:t>
            </w:r>
            <w:r>
              <w:rPr>
                <w:rFonts w:hint="default" w:ascii="Times New Roman" w:hAnsi="Times New Roman" w:eastAsia="宋体" w:cs="Times New Roman"/>
                <w:bCs/>
                <w:color w:val="auto"/>
                <w:szCs w:val="21"/>
                <w:highlight w:val="none"/>
              </w:rPr>
              <w:t>。危废暂存间</w:t>
            </w:r>
            <w:r>
              <w:rPr>
                <w:rFonts w:hint="eastAsia" w:ascii="Times New Roman" w:hAnsi="Times New Roman" w:eastAsia="宋体" w:cs="Times New Roman"/>
                <w:bCs/>
                <w:color w:val="auto"/>
                <w:szCs w:val="21"/>
                <w:highlight w:val="none"/>
                <w:lang w:eastAsia="zh-CN"/>
              </w:rPr>
              <w:t>已</w:t>
            </w:r>
            <w:r>
              <w:rPr>
                <w:rFonts w:hint="default" w:ascii="Times New Roman" w:hAnsi="Times New Roman" w:eastAsia="宋体" w:cs="Times New Roman"/>
                <w:bCs/>
                <w:color w:val="auto"/>
                <w:szCs w:val="21"/>
                <w:highlight w:val="none"/>
              </w:rPr>
              <w:t>做好防腐、防渗和防漏处理，四周设置围堰，预防废物泄漏。</w:t>
            </w:r>
          </w:p>
          <w:p>
            <w:pPr>
              <w:adjustRightInd w:val="0"/>
              <w:snapToGrid w:val="0"/>
              <w:spacing w:line="5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根据《危险废物贮存污染控制标准》（GB 18597-2023），《省生态环境厅关于印发江苏省固体废物全过程环境监管工作意见》（苏环办〔2024〕16号）要求设置危险固废暂存场地，设置警示标识标牌。危废暂存场所地面做防渗处理。场所做好防扬散、防晒、防雨等措施，内部配</w:t>
            </w:r>
            <w:r>
              <w:rPr>
                <w:rFonts w:hint="eastAsia" w:ascii="Times New Roman" w:hAnsi="Times New Roman" w:eastAsia="宋体" w:cs="Times New Roman"/>
                <w:bCs/>
                <w:color w:val="auto"/>
                <w:szCs w:val="21"/>
                <w:highlight w:val="none"/>
                <w:lang w:eastAsia="zh-CN"/>
              </w:rPr>
              <w:t>备</w:t>
            </w:r>
            <w:r>
              <w:rPr>
                <w:rFonts w:hint="default" w:ascii="Times New Roman" w:hAnsi="Times New Roman" w:eastAsia="宋体" w:cs="Times New Roman"/>
                <w:bCs/>
                <w:color w:val="auto"/>
                <w:szCs w:val="21"/>
                <w:highlight w:val="none"/>
              </w:rPr>
              <w:t>应急措施及其他工具，做到双人双锁管理，</w:t>
            </w:r>
            <w:r>
              <w:rPr>
                <w:rFonts w:hint="eastAsia" w:ascii="Times New Roman" w:hAnsi="Times New Roman" w:eastAsia="宋体" w:cs="Times New Roman"/>
                <w:bCs/>
                <w:color w:val="auto"/>
                <w:szCs w:val="21"/>
                <w:highlight w:val="none"/>
                <w:lang w:eastAsia="zh-CN"/>
              </w:rPr>
              <w:t>并建立</w:t>
            </w:r>
            <w:r>
              <w:rPr>
                <w:rFonts w:hint="default" w:ascii="Times New Roman" w:hAnsi="Times New Roman" w:eastAsia="宋体" w:cs="Times New Roman"/>
                <w:bCs/>
                <w:color w:val="auto"/>
                <w:szCs w:val="21"/>
                <w:highlight w:val="none"/>
              </w:rPr>
              <w:t>危废贮存和转移记录台账。危险废物贮存场所（设施）基本情况见下表。</w:t>
            </w:r>
          </w:p>
          <w:p>
            <w:pPr>
              <w:autoSpaceDE w:val="0"/>
              <w:autoSpaceDN w:val="0"/>
              <w:snapToGrid w:val="0"/>
              <w:spacing w:line="500" w:lineRule="exact"/>
              <w:jc w:val="center"/>
              <w:rPr>
                <w:rFonts w:hint="default" w:ascii="Times New Roman" w:hAnsi="Times New Roman" w:eastAsia="宋体" w:cs="Times New Roman"/>
                <w:b/>
                <w:snapToGrid w:val="0"/>
                <w:color w:val="auto"/>
                <w:kern w:val="0"/>
                <w:highlight w:val="none"/>
              </w:rPr>
            </w:pPr>
            <w:r>
              <w:rPr>
                <w:rFonts w:hint="default" w:ascii="Times New Roman" w:hAnsi="Times New Roman" w:eastAsia="宋体" w:cs="Times New Roman"/>
                <w:b/>
                <w:snapToGrid w:val="0"/>
                <w:color w:val="auto"/>
                <w:kern w:val="0"/>
                <w:highlight w:val="none"/>
              </w:rPr>
              <w:t>表4-</w:t>
            </w:r>
            <w:r>
              <w:rPr>
                <w:rFonts w:hint="eastAsia" w:cs="Times New Roman"/>
                <w:b/>
                <w:snapToGrid w:val="0"/>
                <w:color w:val="auto"/>
                <w:kern w:val="0"/>
                <w:highlight w:val="none"/>
                <w:lang w:val="en-US" w:eastAsia="zh-CN"/>
              </w:rPr>
              <w:t>19</w:t>
            </w:r>
            <w:r>
              <w:rPr>
                <w:rFonts w:hint="default" w:ascii="Times New Roman" w:hAnsi="Times New Roman" w:eastAsia="宋体" w:cs="Times New Roman"/>
                <w:b/>
                <w:snapToGrid w:val="0"/>
                <w:color w:val="auto"/>
                <w:kern w:val="0"/>
                <w:highlight w:val="none"/>
              </w:rPr>
              <w:t xml:space="preserve"> 危废贮存设施污染防治措施</w:t>
            </w:r>
          </w:p>
          <w:tbl>
            <w:tblPr>
              <w:tblStyle w:val="11"/>
              <w:tblW w:w="75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424"/>
              <w:gridCol w:w="35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46" w:type="dxa"/>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3424" w:type="dxa"/>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具体建设要求</w:t>
                  </w:r>
                </w:p>
              </w:tc>
              <w:tc>
                <w:tcPr>
                  <w:tcW w:w="3529" w:type="dxa"/>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本公司拟采取污染防治措施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46" w:type="dxa"/>
                  <w:vMerge w:val="restart"/>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危险废物贮存场所</w:t>
                  </w:r>
                </w:p>
              </w:tc>
              <w:tc>
                <w:tcPr>
                  <w:tcW w:w="3424"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1、基础必须防渗，并且满足防渗要求；</w:t>
                  </w:r>
                </w:p>
              </w:tc>
              <w:tc>
                <w:tcPr>
                  <w:tcW w:w="3529"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危废仓库地面</w:t>
                  </w:r>
                  <w:r>
                    <w:rPr>
                      <w:rFonts w:hint="eastAsia" w:ascii="Times New Roman" w:hAnsi="Times New Roman" w:eastAsia="宋体" w:cs="Times New Roman"/>
                      <w:color w:val="auto"/>
                      <w:sz w:val="18"/>
                      <w:szCs w:val="18"/>
                      <w:highlight w:val="none"/>
                      <w:lang w:eastAsia="zh-CN"/>
                    </w:rPr>
                    <w:t>已</w:t>
                  </w:r>
                  <w:r>
                    <w:rPr>
                      <w:rFonts w:hint="default" w:ascii="Times New Roman" w:hAnsi="Times New Roman" w:eastAsia="宋体" w:cs="Times New Roman"/>
                      <w:color w:val="auto"/>
                      <w:sz w:val="18"/>
                      <w:szCs w:val="18"/>
                      <w:highlight w:val="none"/>
                    </w:rPr>
                    <w:t>采用地面硬化+环氧地坪，底部加设土工膜，防渗等级满足防渗要求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46" w:type="dxa"/>
                  <w:vMerge w:val="continue"/>
                  <w:noWrap w:val="0"/>
                  <w:vAlign w:val="center"/>
                </w:tcPr>
                <w:p>
                  <w:pPr>
                    <w:adjustRightInd w:val="0"/>
                    <w:snapToGrid w:val="0"/>
                    <w:jc w:val="center"/>
                    <w:rPr>
                      <w:rFonts w:hint="default" w:ascii="Times New Roman" w:hAnsi="Times New Roman" w:eastAsia="宋体" w:cs="Times New Roman"/>
                      <w:color w:val="auto"/>
                      <w:sz w:val="18"/>
                      <w:szCs w:val="18"/>
                      <w:highlight w:val="none"/>
                    </w:rPr>
                  </w:pPr>
                </w:p>
              </w:tc>
              <w:tc>
                <w:tcPr>
                  <w:tcW w:w="3424"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2、必须有泄漏液体收集装置、气体导出口及气体净化装置；</w:t>
                  </w:r>
                </w:p>
              </w:tc>
              <w:tc>
                <w:tcPr>
                  <w:tcW w:w="3529" w:type="dxa"/>
                  <w:noWrap w:val="0"/>
                  <w:vAlign w:val="center"/>
                </w:tcPr>
                <w:p>
                  <w:pPr>
                    <w:adjustRightInd w:val="0"/>
                    <w:snapToGrid w:val="0"/>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危废均密封贮存在危废仓库内，危废定期处置，不涉及气体排放，因此，危废仓库</w:t>
                  </w:r>
                  <w:r>
                    <w:rPr>
                      <w:rFonts w:hint="default" w:ascii="Times New Roman" w:hAnsi="Times New Roman" w:eastAsia="宋体" w:cs="Times New Roman"/>
                      <w:color w:val="auto"/>
                      <w:sz w:val="18"/>
                      <w:szCs w:val="18"/>
                      <w:highlight w:val="none"/>
                      <w:lang w:eastAsia="zh-CN"/>
                    </w:rPr>
                    <w:t>无须设置</w:t>
                  </w:r>
                  <w:r>
                    <w:rPr>
                      <w:rFonts w:hint="default" w:ascii="Times New Roman" w:hAnsi="Times New Roman" w:eastAsia="宋体" w:cs="Times New Roman"/>
                      <w:color w:val="auto"/>
                      <w:sz w:val="18"/>
                      <w:szCs w:val="18"/>
                      <w:highlight w:val="none"/>
                    </w:rPr>
                    <w:t>气体净化装置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46" w:type="dxa"/>
                  <w:vMerge w:val="continue"/>
                  <w:noWrap w:val="0"/>
                  <w:vAlign w:val="center"/>
                </w:tcPr>
                <w:p>
                  <w:pPr>
                    <w:adjustRightInd w:val="0"/>
                    <w:snapToGrid w:val="0"/>
                    <w:jc w:val="center"/>
                    <w:rPr>
                      <w:rFonts w:hint="default" w:ascii="Times New Roman" w:hAnsi="Times New Roman" w:eastAsia="宋体" w:cs="Times New Roman"/>
                      <w:color w:val="auto"/>
                      <w:sz w:val="18"/>
                      <w:szCs w:val="18"/>
                      <w:highlight w:val="none"/>
                    </w:rPr>
                  </w:pPr>
                </w:p>
              </w:tc>
              <w:tc>
                <w:tcPr>
                  <w:tcW w:w="3424"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3、设施内要有安全照明设施、观察窗口；通讯设施；消防设施；</w:t>
                  </w:r>
                </w:p>
              </w:tc>
              <w:tc>
                <w:tcPr>
                  <w:tcW w:w="3529" w:type="dxa"/>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危废仓库内拟配备通讯设备、防爆灯、禁火标志、灭火器（如黄沙）等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46" w:type="dxa"/>
                  <w:vMerge w:val="continue"/>
                  <w:noWrap w:val="0"/>
                  <w:vAlign w:val="center"/>
                </w:tcPr>
                <w:p>
                  <w:pPr>
                    <w:adjustRightInd w:val="0"/>
                    <w:snapToGrid w:val="0"/>
                    <w:jc w:val="center"/>
                    <w:rPr>
                      <w:rFonts w:hint="default" w:ascii="Times New Roman" w:hAnsi="Times New Roman" w:eastAsia="宋体" w:cs="Times New Roman"/>
                      <w:color w:val="auto"/>
                      <w:sz w:val="18"/>
                      <w:szCs w:val="18"/>
                      <w:highlight w:val="none"/>
                    </w:rPr>
                  </w:pPr>
                </w:p>
              </w:tc>
              <w:tc>
                <w:tcPr>
                  <w:tcW w:w="3424"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4、危险废物堆要防风、防雨、防晒；</w:t>
                  </w:r>
                </w:p>
              </w:tc>
              <w:tc>
                <w:tcPr>
                  <w:tcW w:w="3529" w:type="dxa"/>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危废仓库密闭，地面防渗处理，四周设围堰，设置钢筋混凝土导流沟，并采用底部加设土工膜进行防渗，具备防风、防雨、防晒功能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46" w:type="dxa"/>
                  <w:vMerge w:val="continue"/>
                  <w:noWrap w:val="0"/>
                  <w:vAlign w:val="center"/>
                </w:tcPr>
                <w:p>
                  <w:pPr>
                    <w:adjustRightInd w:val="0"/>
                    <w:snapToGrid w:val="0"/>
                    <w:jc w:val="center"/>
                    <w:rPr>
                      <w:rFonts w:hint="default" w:ascii="Times New Roman" w:hAnsi="Times New Roman" w:eastAsia="宋体" w:cs="Times New Roman"/>
                      <w:color w:val="auto"/>
                      <w:sz w:val="18"/>
                      <w:szCs w:val="18"/>
                      <w:highlight w:val="none"/>
                    </w:rPr>
                  </w:pPr>
                </w:p>
              </w:tc>
              <w:tc>
                <w:tcPr>
                  <w:tcW w:w="3424"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5、在危险废物仓库出入口、设施内部、危险废物运输车辆通道等关键位置按照危险废物贮存设施视频监控布设要求设置视频监控，并与中控室联网；</w:t>
                  </w:r>
                </w:p>
              </w:tc>
              <w:tc>
                <w:tcPr>
                  <w:tcW w:w="3529" w:type="dxa"/>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建设单位在仓库出入口、仓库内、厂门口等关键位置安装视频监控设施，进行实时监控，并与中控室联网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46" w:type="dxa"/>
                  <w:vMerge w:val="continue"/>
                  <w:noWrap w:val="0"/>
                  <w:vAlign w:val="center"/>
                </w:tcPr>
                <w:p>
                  <w:pPr>
                    <w:adjustRightInd w:val="0"/>
                    <w:snapToGrid w:val="0"/>
                    <w:jc w:val="center"/>
                    <w:rPr>
                      <w:rFonts w:hint="default" w:ascii="Times New Roman" w:hAnsi="Times New Roman" w:eastAsia="宋体" w:cs="Times New Roman"/>
                      <w:color w:val="auto"/>
                      <w:sz w:val="18"/>
                      <w:szCs w:val="18"/>
                      <w:highlight w:val="none"/>
                    </w:rPr>
                  </w:pPr>
                </w:p>
              </w:tc>
              <w:tc>
                <w:tcPr>
                  <w:tcW w:w="3424"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6、按照《环境保护图形标志固体废物贮存（处置）场》（GB15562.2-1995）和危险废物识别标识设置规范设置标志；</w:t>
                  </w:r>
                </w:p>
              </w:tc>
              <w:tc>
                <w:tcPr>
                  <w:tcW w:w="3529" w:type="dxa"/>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建设单位在厂区门口设置危废信息公</w:t>
                  </w:r>
                </w:p>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开栏，危废仓库外墙及各类危废贮存处墙面设置贮存设施警示标志牌，对危险废</w:t>
                  </w:r>
                  <w:r>
                    <w:rPr>
                      <w:rFonts w:hint="default" w:ascii="Times New Roman" w:hAnsi="Times New Roman" w:eastAsia="宋体" w:cs="Times New Roman"/>
                      <w:color w:val="auto"/>
                      <w:sz w:val="18"/>
                      <w:szCs w:val="18"/>
                      <w:highlight w:val="none"/>
                      <w:lang w:eastAsia="zh-CN"/>
                    </w:rPr>
                    <w:t>物</w:t>
                  </w:r>
                  <w:r>
                    <w:rPr>
                      <w:rFonts w:hint="default" w:ascii="Times New Roman" w:hAnsi="Times New Roman" w:eastAsia="宋体" w:cs="Times New Roman"/>
                      <w:color w:val="auto"/>
                      <w:sz w:val="18"/>
                      <w:szCs w:val="18"/>
                      <w:highlight w:val="none"/>
                    </w:rPr>
                    <w:t>的容器和包装物以及收集、贮存、运输、处置危险废物的设施、场所，拟设置危险废物识别标志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46" w:type="dxa"/>
                  <w:vMerge w:val="restart"/>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危废贮存过程</w:t>
                  </w:r>
                </w:p>
              </w:tc>
              <w:tc>
                <w:tcPr>
                  <w:tcW w:w="3424"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1、企业应根据危险废物的种类和特性进行分区、分类贮存</w:t>
                  </w:r>
                </w:p>
              </w:tc>
              <w:tc>
                <w:tcPr>
                  <w:tcW w:w="3529" w:type="dxa"/>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仓库内不同危废分区贮存，危废均密封贮存在危废仓库内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46" w:type="dxa"/>
                  <w:vMerge w:val="continue"/>
                  <w:noWrap w:val="0"/>
                  <w:vAlign w:val="center"/>
                </w:tcPr>
                <w:p>
                  <w:pPr>
                    <w:adjustRightInd w:val="0"/>
                    <w:snapToGrid w:val="0"/>
                    <w:jc w:val="center"/>
                    <w:rPr>
                      <w:rFonts w:hint="default" w:ascii="Times New Roman" w:hAnsi="Times New Roman" w:eastAsia="宋体" w:cs="Times New Roman"/>
                      <w:color w:val="auto"/>
                      <w:sz w:val="18"/>
                      <w:szCs w:val="18"/>
                      <w:highlight w:val="none"/>
                    </w:rPr>
                  </w:pPr>
                </w:p>
              </w:tc>
              <w:tc>
                <w:tcPr>
                  <w:tcW w:w="3424"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2、危险废物贮存容器应当使用符合标准的容器盛装危险废物，装载危险废物的容器及材质要满足相应的强度要求，完好无损，盛装危险废物的容器材质和衬里要与危险废物相容</w:t>
                  </w:r>
                </w:p>
              </w:tc>
              <w:tc>
                <w:tcPr>
                  <w:tcW w:w="3529"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建设项目采取的危险废物贮存容器材质均与危险废物相容，完好无损，满足要求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46" w:type="dxa"/>
                  <w:vMerge w:val="continue"/>
                  <w:noWrap w:val="0"/>
                  <w:vAlign w:val="center"/>
                </w:tcPr>
                <w:p>
                  <w:pPr>
                    <w:adjustRightInd w:val="0"/>
                    <w:snapToGrid w:val="0"/>
                    <w:jc w:val="center"/>
                    <w:rPr>
                      <w:rFonts w:hint="default" w:ascii="Times New Roman" w:hAnsi="Times New Roman" w:eastAsia="宋体" w:cs="Times New Roman"/>
                      <w:color w:val="auto"/>
                      <w:sz w:val="18"/>
                      <w:szCs w:val="18"/>
                      <w:highlight w:val="none"/>
                    </w:rPr>
                  </w:pPr>
                </w:p>
              </w:tc>
              <w:tc>
                <w:tcPr>
                  <w:tcW w:w="3424"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3、不得将不相容的废物混合或合并存放。</w:t>
                  </w:r>
                </w:p>
              </w:tc>
              <w:tc>
                <w:tcPr>
                  <w:tcW w:w="3529" w:type="dxa"/>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危废仓库内不同危废分区贮存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646" w:type="dxa"/>
                  <w:noWrap w:val="0"/>
                  <w:vAlign w:val="center"/>
                </w:tcPr>
                <w:p>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危险废物暂存管理要求</w:t>
                  </w:r>
                </w:p>
              </w:tc>
              <w:tc>
                <w:tcPr>
                  <w:tcW w:w="3424"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须</w:t>
                  </w:r>
                  <w:r>
                    <w:rPr>
                      <w:rFonts w:hint="default" w:ascii="Times New Roman" w:hAnsi="Times New Roman" w:eastAsia="宋体" w:cs="Times New Roman"/>
                      <w:color w:val="auto"/>
                      <w:sz w:val="18"/>
                      <w:szCs w:val="18"/>
                      <w:highlight w:val="none"/>
                      <w:lang w:eastAsia="zh-CN"/>
                    </w:rPr>
                    <w:t>做</w:t>
                  </w:r>
                  <w:r>
                    <w:rPr>
                      <w:rFonts w:hint="default" w:ascii="Times New Roman" w:hAnsi="Times New Roman" w:eastAsia="宋体" w:cs="Times New Roman"/>
                      <w:color w:val="auto"/>
                      <w:sz w:val="18"/>
                      <w:szCs w:val="18"/>
                      <w:highlight w:val="none"/>
                    </w:rPr>
                    <w:t>好危险废物情况的记录，记录上须注明危险废物的名称、来源、数量、特性和包装容器的类别、入库日期、存放库位、废物出库日期及接收单位名称。危险废物的记录和货单在危险废物回取后应继续保留三年。</w:t>
                  </w:r>
                </w:p>
              </w:tc>
              <w:tc>
                <w:tcPr>
                  <w:tcW w:w="3529" w:type="dxa"/>
                  <w:noWrap w:val="0"/>
                  <w:vAlign w:val="center"/>
                </w:tcPr>
                <w:p>
                  <w:pPr>
                    <w:adjustRightInd w:val="0"/>
                    <w:snapToGrid w:val="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eastAsia="zh-CN"/>
                    </w:rPr>
                    <w:t>已</w:t>
                  </w:r>
                  <w:r>
                    <w:rPr>
                      <w:rFonts w:hint="default" w:ascii="Times New Roman" w:hAnsi="Times New Roman" w:eastAsia="宋体" w:cs="Times New Roman"/>
                      <w:color w:val="auto"/>
                      <w:sz w:val="18"/>
                      <w:szCs w:val="18"/>
                      <w:highlight w:val="none"/>
                    </w:rPr>
                    <w:t>设立危险废物进出入台账登记管理制度，记录危险废物的名称、来源、数量、特性和包装容器的类别、入库日期、存放库位、废物出库日期及接收单位名称，严格执行危险废物电子联单制度，实行对危险废物从源头到终端处理的全过程监管，确保危险废物100%得到安全处置。危险废物的记录和货单保留三年。</w:t>
                  </w:r>
                </w:p>
              </w:tc>
            </w:tr>
          </w:tbl>
          <w:p>
            <w:pPr>
              <w:spacing w:line="500" w:lineRule="exact"/>
              <w:ind w:firstLine="42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（3）运输过程的管理要求</w:t>
            </w:r>
          </w:p>
          <w:p>
            <w:pPr>
              <w:spacing w:line="5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危险废物主要产生于废气处理等，危险废物产生后放入专门盛装危险废物的容器或防漏胶袋中，由带有防漏托盘的拖车转运至危废暂存间内，转运过程中由于人为操作失误造成的容器倒翻、胶袋破损等情况时，会对周围环境产生一定的影响，因此，企业应加强培训和管理。</w:t>
            </w:r>
          </w:p>
          <w:p>
            <w:pPr>
              <w:spacing w:line="5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产生的危险废物按照相应的包装要求进行包装，企业危险废物外运委托有资质的单位进行运输，严格执行《危险废物收集、贮存、运输技术规范》（HJ2025-2012）和《危险废物转移联单管理办法》，并制定好危险废物转移运输途中的污染防范及事故应急措施，严格按照要求办理有关手续。运输单位在运输本项目危险废物过程中应严格做好相应的防范措施，防止危险废物的泄</w:t>
            </w:r>
            <w:r>
              <w:rPr>
                <w:rFonts w:hint="eastAsia" w:ascii="Times New Roman" w:hAnsi="Times New Roman" w:eastAsia="宋体" w:cs="Times New Roman"/>
                <w:color w:val="auto"/>
                <w:highlight w:val="none"/>
                <w:lang w:eastAsia="zh-CN"/>
              </w:rPr>
              <w:t>漏</w:t>
            </w:r>
            <w:r>
              <w:rPr>
                <w:rFonts w:hint="default" w:ascii="Times New Roman" w:hAnsi="Times New Roman" w:eastAsia="宋体" w:cs="Times New Roman"/>
                <w:color w:val="auto"/>
                <w:highlight w:val="none"/>
              </w:rPr>
              <w:t>，或发生重大交通事故，具体措施如下：</w:t>
            </w:r>
          </w:p>
          <w:p>
            <w:pPr>
              <w:spacing w:line="5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1）采用专用车辆直接从企业将危险废物运送至处理处置单位厂内，运输过程严格遵守《中华人民共和国固体废物污染环境防治法》、《危险废物收集、贮存、运输技术规范》（HJ2025-2012）等相关规定。</w:t>
            </w:r>
          </w:p>
          <w:p>
            <w:pPr>
              <w:spacing w:line="5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2）运输途中不设中转站临时贮存，避免危险废物在中转站卸载和装载时发生二次污染的风险，及时由危险废物的产生地直接运送到处理处置单位厂内。</w:t>
            </w:r>
          </w:p>
          <w:p>
            <w:pPr>
              <w:spacing w:line="5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3）在运输前应事先作出周密的运输计划，安排好运输车辆经过各路段的时间，尽量避免运输车辆在交通高峰期间通过市区。</w:t>
            </w:r>
          </w:p>
          <w:p>
            <w:pPr>
              <w:spacing w:line="5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4）危险废物运输者应制定事故应急和防止运输过程中发生泄漏、丢失、扬散的保障措施和配备必要的设备，在危险废物发生泄漏时可以及时将危险废物收集，减少散失。</w:t>
            </w:r>
          </w:p>
          <w:p>
            <w:pPr>
              <w:spacing w:line="5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5）运输途中经过敏感点时应减速慢行，若危险废物发生泄漏时应立即采取措施，将危险废物收集，减少危险废物的散失，避免对敏感点造成较大影响。</w:t>
            </w:r>
          </w:p>
          <w:p>
            <w:pPr>
              <w:spacing w:line="5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通过上述分析可知，项目危险废物运输过程中在严格做好相应的防范措施后，对运输路线周围的环境及敏感点影响较小。</w:t>
            </w:r>
          </w:p>
          <w:p>
            <w:pPr>
              <w:spacing w:line="500" w:lineRule="exact"/>
              <w:ind w:firstLine="42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（4）委托利用或者处置的要求</w:t>
            </w:r>
          </w:p>
          <w:p>
            <w:pPr>
              <w:autoSpaceDE w:val="0"/>
              <w:autoSpaceDN w:val="0"/>
              <w:adjustRightInd w:val="0"/>
              <w:spacing w:line="5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根据《中华人民共和国固体废物污染环境防治法》及《国家危险固废名录》（2021版），项目产生的危险废物交有资质的单位进行处理处置，不自行处置。</w:t>
            </w:r>
          </w:p>
          <w:p>
            <w:pPr>
              <w:autoSpaceDE w:val="0"/>
              <w:autoSpaceDN w:val="0"/>
              <w:adjustRightInd w:val="0"/>
              <w:spacing w:line="500" w:lineRule="exact"/>
              <w:ind w:firstLine="42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本项目产生的危废较少，且更换频次较少，周边泰州、南通区域危废处置能力较强且运输距离较近，可以保障本项目的危废处理稳定、有序进行，从而做到危险固废无害化处理，对环境的影响较小</w:t>
            </w:r>
            <w:r>
              <w:rPr>
                <w:rFonts w:hint="default" w:ascii="Times New Roman" w:hAnsi="Times New Roman" w:eastAsia="宋体" w:cs="Times New Roman"/>
                <w:color w:val="auto"/>
                <w:highlight w:val="none"/>
                <w:lang w:eastAsia="zh-CN"/>
              </w:rPr>
              <w:t>。</w:t>
            </w:r>
          </w:p>
          <w:p>
            <w:pPr>
              <w:adjustRightInd w:val="0"/>
              <w:snapToGrid w:val="0"/>
              <w:spacing w:line="5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3、环境管理要求</w:t>
            </w:r>
          </w:p>
          <w:p>
            <w:pPr>
              <w:adjustRightInd w:val="0"/>
              <w:snapToGrid w:val="0"/>
              <w:spacing w:line="5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在日常营运中，应制定固废管理计划，将固废的产生、贮存、利用、处置等情况纳入生产记录，建立固废管理台账和企业内部产生和收集贮存部门交接制度。</w:t>
            </w:r>
          </w:p>
          <w:p>
            <w:pPr>
              <w:adjustRightInd w:val="0"/>
              <w:snapToGrid w:val="0"/>
              <w:spacing w:line="5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企业为固体废物污染防治的责任主体，应建立风险管理及应急救援体系，执行环境监测计划、转移联单管理制度及国家和省有关转移管理的相关规定、处置过程安全操作规程、人员培训考核制度、档案管理制度、处置全过程管理制度等。</w:t>
            </w:r>
          </w:p>
          <w:p>
            <w:pPr>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firstLine="422" w:firstLineChars="200"/>
              <w:textAlignment w:val="auto"/>
              <w:rPr>
                <w:b/>
                <w:bCs/>
                <w:szCs w:val="21"/>
              </w:rPr>
            </w:pPr>
            <w:r>
              <w:rPr>
                <w:b/>
                <w:bCs/>
                <w:szCs w:val="21"/>
              </w:rPr>
              <w:t>地下水、土壤环境影响分析</w:t>
            </w:r>
          </w:p>
          <w:p>
            <w:pPr>
              <w:keepNext w:val="0"/>
              <w:keepLines w:val="0"/>
              <w:pageBreakBefore w:val="0"/>
              <w:widowControl w:val="0"/>
              <w:kinsoku/>
              <w:wordWrap/>
              <w:overflowPunct/>
              <w:topLinePunct w:val="0"/>
              <w:autoSpaceDE/>
              <w:autoSpaceDN/>
              <w:bidi w:val="0"/>
              <w:adjustRightInd w:val="0"/>
              <w:snapToGrid/>
              <w:spacing w:line="500" w:lineRule="exact"/>
              <w:ind w:firstLine="420" w:firstLineChars="200"/>
              <w:textAlignment w:val="auto"/>
            </w:pPr>
            <w:r>
              <w:t>对土壤和地下水的污染类型主要为油漆渗漏进而渗透进入土壤，造成土壤及地下水的污染，主要为油漆房对土壤及地下水的污染。</w:t>
            </w:r>
          </w:p>
          <w:p>
            <w:pPr>
              <w:keepNext w:val="0"/>
              <w:keepLines w:val="0"/>
              <w:pageBreakBefore w:val="0"/>
              <w:widowControl w:val="0"/>
              <w:kinsoku/>
              <w:wordWrap/>
              <w:overflowPunct/>
              <w:topLinePunct w:val="0"/>
              <w:autoSpaceDE/>
              <w:autoSpaceDN/>
              <w:bidi w:val="0"/>
              <w:adjustRightInd w:val="0"/>
              <w:snapToGrid/>
              <w:spacing w:line="500" w:lineRule="exact"/>
              <w:ind w:firstLine="420" w:firstLineChars="200"/>
              <w:textAlignment w:val="auto"/>
            </w:pPr>
            <w:r>
              <w:t>根据项目所在地深、浅层地下水的补给、径流和排泄途径方式，结合本工程排放的主要污染物，分析得出建成工程对浅层空隙水和深层空隙水的污染途径和影响主要有以下方面：</w:t>
            </w:r>
            <w:r>
              <w:rPr>
                <w:rFonts w:hint="eastAsia"/>
                <w:lang w:val="en-US" w:eastAsia="zh-CN"/>
              </w:rPr>
              <w:t>喷</w:t>
            </w:r>
            <w:r>
              <w:t>漆房若发生液体渗漏，有可能污染周边土壤，并下渗进而污染地下水。油漆房进行防渗漏处理，可避免正常情况下的渗漏。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szCs w:val="21"/>
              </w:rPr>
            </w:pPr>
            <w:r>
              <w:rPr>
                <w:b/>
                <w:bCs/>
                <w:szCs w:val="21"/>
              </w:rPr>
              <w:t>表4-</w:t>
            </w:r>
            <w:r>
              <w:rPr>
                <w:rFonts w:hint="eastAsia"/>
                <w:b/>
                <w:bCs/>
                <w:szCs w:val="21"/>
              </w:rPr>
              <w:t>2</w:t>
            </w:r>
            <w:r>
              <w:rPr>
                <w:rFonts w:hint="eastAsia"/>
                <w:b/>
                <w:bCs/>
                <w:szCs w:val="21"/>
                <w:lang w:val="en-US" w:eastAsia="zh-CN"/>
              </w:rPr>
              <w:t xml:space="preserve">0 </w:t>
            </w:r>
            <w:r>
              <w:rPr>
                <w:b/>
                <w:bCs/>
                <w:szCs w:val="21"/>
              </w:rPr>
              <w:t>本项目分区防渗方案及防渗措施表</w:t>
            </w:r>
          </w:p>
          <w:tbl>
            <w:tblPr>
              <w:tblStyle w:val="11"/>
              <w:tblW w:w="759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587"/>
              <w:gridCol w:w="1300"/>
              <w:gridCol w:w="957"/>
              <w:gridCol w:w="1390"/>
              <w:gridCol w:w="1139"/>
              <w:gridCol w:w="851"/>
              <w:gridCol w:w="1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27" w:hRule="atLeast"/>
                <w:jc w:val="center"/>
              </w:trPr>
              <w:tc>
                <w:tcPr>
                  <w:tcW w:w="587" w:type="dxa"/>
                  <w:noWrap w:val="0"/>
                  <w:vAlign w:val="center"/>
                </w:tcPr>
                <w:p>
                  <w:pPr>
                    <w:spacing w:line="300" w:lineRule="exact"/>
                    <w:jc w:val="center"/>
                    <w:rPr>
                      <w:b/>
                      <w:bCs/>
                      <w:sz w:val="18"/>
                      <w:szCs w:val="18"/>
                    </w:rPr>
                  </w:pPr>
                  <w:r>
                    <w:rPr>
                      <w:b/>
                      <w:bCs/>
                      <w:sz w:val="18"/>
                      <w:szCs w:val="18"/>
                    </w:rPr>
                    <w:t>序号</w:t>
                  </w:r>
                </w:p>
              </w:tc>
              <w:tc>
                <w:tcPr>
                  <w:tcW w:w="1300" w:type="dxa"/>
                  <w:noWrap w:val="0"/>
                  <w:vAlign w:val="center"/>
                </w:tcPr>
                <w:p>
                  <w:pPr>
                    <w:spacing w:line="300" w:lineRule="exact"/>
                    <w:jc w:val="center"/>
                    <w:rPr>
                      <w:b/>
                      <w:bCs/>
                      <w:sz w:val="18"/>
                      <w:szCs w:val="18"/>
                    </w:rPr>
                  </w:pPr>
                  <w:r>
                    <w:rPr>
                      <w:b/>
                      <w:bCs/>
                      <w:sz w:val="18"/>
                      <w:szCs w:val="18"/>
                    </w:rPr>
                    <w:t>名称</w:t>
                  </w:r>
                </w:p>
              </w:tc>
              <w:tc>
                <w:tcPr>
                  <w:tcW w:w="957" w:type="dxa"/>
                  <w:noWrap w:val="0"/>
                  <w:vAlign w:val="center"/>
                </w:tcPr>
                <w:p>
                  <w:pPr>
                    <w:spacing w:line="300" w:lineRule="exact"/>
                    <w:jc w:val="center"/>
                    <w:rPr>
                      <w:b/>
                      <w:bCs/>
                      <w:sz w:val="18"/>
                      <w:szCs w:val="18"/>
                    </w:rPr>
                  </w:pPr>
                  <w:r>
                    <w:rPr>
                      <w:rFonts w:hint="eastAsia"/>
                      <w:b/>
                      <w:bCs/>
                      <w:sz w:val="18"/>
                      <w:szCs w:val="18"/>
                    </w:rPr>
                    <w:t>污染控制难易程度</w:t>
                  </w:r>
                </w:p>
              </w:tc>
              <w:tc>
                <w:tcPr>
                  <w:tcW w:w="1390" w:type="dxa"/>
                  <w:noWrap w:val="0"/>
                  <w:vAlign w:val="center"/>
                </w:tcPr>
                <w:p>
                  <w:pPr>
                    <w:spacing w:line="300" w:lineRule="exact"/>
                    <w:jc w:val="center"/>
                    <w:rPr>
                      <w:b/>
                      <w:bCs/>
                      <w:sz w:val="18"/>
                      <w:szCs w:val="18"/>
                    </w:rPr>
                  </w:pPr>
                  <w:r>
                    <w:rPr>
                      <w:rFonts w:hint="eastAsia"/>
                      <w:b/>
                      <w:bCs/>
                      <w:sz w:val="18"/>
                      <w:szCs w:val="18"/>
                    </w:rPr>
                    <w:t>天然包气带防污性能分级</w:t>
                  </w:r>
                </w:p>
              </w:tc>
              <w:tc>
                <w:tcPr>
                  <w:tcW w:w="1139" w:type="dxa"/>
                  <w:noWrap w:val="0"/>
                  <w:vAlign w:val="center"/>
                </w:tcPr>
                <w:p>
                  <w:pPr>
                    <w:spacing w:line="300" w:lineRule="exact"/>
                    <w:jc w:val="center"/>
                    <w:rPr>
                      <w:b/>
                      <w:bCs/>
                      <w:sz w:val="18"/>
                      <w:szCs w:val="18"/>
                    </w:rPr>
                  </w:pPr>
                  <w:r>
                    <w:rPr>
                      <w:rFonts w:hint="eastAsia"/>
                      <w:b/>
                      <w:bCs/>
                      <w:sz w:val="18"/>
                      <w:szCs w:val="18"/>
                    </w:rPr>
                    <w:t>污染物类型</w:t>
                  </w:r>
                </w:p>
              </w:tc>
              <w:tc>
                <w:tcPr>
                  <w:tcW w:w="851" w:type="dxa"/>
                  <w:noWrap w:val="0"/>
                  <w:vAlign w:val="center"/>
                </w:tcPr>
                <w:p>
                  <w:pPr>
                    <w:spacing w:line="300" w:lineRule="exact"/>
                    <w:jc w:val="center"/>
                    <w:rPr>
                      <w:rFonts w:hint="eastAsia"/>
                      <w:b/>
                      <w:bCs/>
                      <w:sz w:val="18"/>
                      <w:szCs w:val="18"/>
                    </w:rPr>
                  </w:pPr>
                  <w:r>
                    <w:rPr>
                      <w:rFonts w:hint="eastAsia"/>
                      <w:b/>
                      <w:bCs/>
                      <w:sz w:val="18"/>
                      <w:szCs w:val="18"/>
                    </w:rPr>
                    <w:t>防渗</w:t>
                  </w:r>
                </w:p>
                <w:p>
                  <w:pPr>
                    <w:spacing w:line="300" w:lineRule="exact"/>
                    <w:jc w:val="center"/>
                    <w:rPr>
                      <w:b/>
                      <w:bCs/>
                      <w:sz w:val="18"/>
                      <w:szCs w:val="18"/>
                    </w:rPr>
                  </w:pPr>
                  <w:r>
                    <w:rPr>
                      <w:rFonts w:hint="eastAsia"/>
                      <w:b/>
                      <w:bCs/>
                      <w:sz w:val="18"/>
                      <w:szCs w:val="18"/>
                    </w:rPr>
                    <w:t>分区</w:t>
                  </w:r>
                </w:p>
              </w:tc>
              <w:tc>
                <w:tcPr>
                  <w:tcW w:w="1371" w:type="dxa"/>
                  <w:noWrap w:val="0"/>
                  <w:vAlign w:val="center"/>
                </w:tcPr>
                <w:p>
                  <w:pPr>
                    <w:spacing w:line="300" w:lineRule="exact"/>
                    <w:jc w:val="center"/>
                    <w:rPr>
                      <w:b/>
                      <w:bCs/>
                      <w:sz w:val="18"/>
                      <w:szCs w:val="18"/>
                    </w:rPr>
                  </w:pPr>
                  <w:r>
                    <w:rPr>
                      <w:rFonts w:hint="eastAsia"/>
                      <w:b/>
                      <w:bCs/>
                      <w:sz w:val="18"/>
                      <w:szCs w:val="18"/>
                    </w:rPr>
                    <w:t>防渗技术要求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0" w:hRule="atLeast"/>
                <w:jc w:val="center"/>
              </w:trPr>
              <w:tc>
                <w:tcPr>
                  <w:tcW w:w="587" w:type="dxa"/>
                  <w:noWrap w:val="0"/>
                  <w:vAlign w:val="center"/>
                </w:tcPr>
                <w:p>
                  <w:pPr>
                    <w:spacing w:line="300" w:lineRule="exact"/>
                    <w:jc w:val="center"/>
                    <w:rPr>
                      <w:rFonts w:hint="eastAsia"/>
                      <w:sz w:val="18"/>
                      <w:szCs w:val="18"/>
                    </w:rPr>
                  </w:pPr>
                  <w:r>
                    <w:rPr>
                      <w:rFonts w:hint="eastAsia"/>
                      <w:sz w:val="18"/>
                      <w:szCs w:val="18"/>
                    </w:rPr>
                    <w:t>1</w:t>
                  </w:r>
                </w:p>
              </w:tc>
              <w:tc>
                <w:tcPr>
                  <w:tcW w:w="1300" w:type="dxa"/>
                  <w:noWrap w:val="0"/>
                  <w:vAlign w:val="center"/>
                </w:tcPr>
                <w:p>
                  <w:pPr>
                    <w:spacing w:line="300" w:lineRule="exact"/>
                    <w:jc w:val="center"/>
                    <w:rPr>
                      <w:rFonts w:hint="eastAsia" w:eastAsia="宋体"/>
                      <w:sz w:val="18"/>
                      <w:szCs w:val="18"/>
                      <w:lang w:eastAsia="zh-CN"/>
                    </w:rPr>
                  </w:pPr>
                  <w:r>
                    <w:rPr>
                      <w:rFonts w:hint="eastAsia"/>
                      <w:sz w:val="18"/>
                      <w:szCs w:val="18"/>
                    </w:rPr>
                    <w:t>危废库、污水处理站</w:t>
                  </w:r>
                </w:p>
              </w:tc>
              <w:tc>
                <w:tcPr>
                  <w:tcW w:w="957" w:type="dxa"/>
                  <w:noWrap w:val="0"/>
                  <w:vAlign w:val="center"/>
                </w:tcPr>
                <w:p>
                  <w:pPr>
                    <w:spacing w:line="300" w:lineRule="exact"/>
                    <w:jc w:val="center"/>
                    <w:rPr>
                      <w:rFonts w:hint="eastAsia"/>
                      <w:sz w:val="18"/>
                      <w:szCs w:val="18"/>
                    </w:rPr>
                  </w:pPr>
                  <w:r>
                    <w:rPr>
                      <w:rFonts w:hint="eastAsia"/>
                      <w:sz w:val="18"/>
                      <w:szCs w:val="18"/>
                    </w:rPr>
                    <w:t>难</w:t>
                  </w:r>
                </w:p>
              </w:tc>
              <w:tc>
                <w:tcPr>
                  <w:tcW w:w="1390" w:type="dxa"/>
                  <w:noWrap w:val="0"/>
                  <w:vAlign w:val="center"/>
                </w:tcPr>
                <w:p>
                  <w:pPr>
                    <w:spacing w:line="300" w:lineRule="exact"/>
                    <w:jc w:val="center"/>
                    <w:rPr>
                      <w:rFonts w:hint="eastAsia"/>
                      <w:sz w:val="18"/>
                      <w:szCs w:val="18"/>
                    </w:rPr>
                  </w:pPr>
                  <w:r>
                    <w:rPr>
                      <w:rFonts w:hint="eastAsia"/>
                      <w:sz w:val="18"/>
                      <w:szCs w:val="18"/>
                    </w:rPr>
                    <w:t>中</w:t>
                  </w:r>
                </w:p>
              </w:tc>
              <w:tc>
                <w:tcPr>
                  <w:tcW w:w="1139" w:type="dxa"/>
                  <w:noWrap w:val="0"/>
                  <w:vAlign w:val="center"/>
                </w:tcPr>
                <w:p>
                  <w:pPr>
                    <w:spacing w:line="300" w:lineRule="exact"/>
                    <w:jc w:val="center"/>
                    <w:rPr>
                      <w:rFonts w:hint="eastAsia"/>
                      <w:sz w:val="18"/>
                      <w:szCs w:val="18"/>
                    </w:rPr>
                  </w:pPr>
                  <w:r>
                    <w:rPr>
                      <w:rFonts w:hint="eastAsia"/>
                      <w:sz w:val="18"/>
                      <w:szCs w:val="18"/>
                    </w:rPr>
                    <w:t>持久性污染物</w:t>
                  </w:r>
                </w:p>
              </w:tc>
              <w:tc>
                <w:tcPr>
                  <w:tcW w:w="851" w:type="dxa"/>
                  <w:noWrap w:val="0"/>
                  <w:vAlign w:val="center"/>
                </w:tcPr>
                <w:p>
                  <w:pPr>
                    <w:spacing w:line="300" w:lineRule="exact"/>
                    <w:jc w:val="center"/>
                    <w:rPr>
                      <w:rFonts w:hint="eastAsia"/>
                      <w:sz w:val="18"/>
                      <w:szCs w:val="18"/>
                    </w:rPr>
                  </w:pPr>
                  <w:r>
                    <w:rPr>
                      <w:rFonts w:hint="eastAsia"/>
                      <w:sz w:val="18"/>
                      <w:szCs w:val="18"/>
                    </w:rPr>
                    <w:t>重点</w:t>
                  </w:r>
                </w:p>
                <w:p>
                  <w:pPr>
                    <w:spacing w:line="300" w:lineRule="exact"/>
                    <w:jc w:val="center"/>
                    <w:rPr>
                      <w:rFonts w:hint="eastAsia"/>
                      <w:sz w:val="18"/>
                      <w:szCs w:val="18"/>
                    </w:rPr>
                  </w:pPr>
                  <w:r>
                    <w:rPr>
                      <w:rFonts w:hint="eastAsia"/>
                      <w:sz w:val="18"/>
                      <w:szCs w:val="18"/>
                    </w:rPr>
                    <w:t>防渗区</w:t>
                  </w:r>
                </w:p>
              </w:tc>
              <w:tc>
                <w:tcPr>
                  <w:tcW w:w="1371" w:type="dxa"/>
                  <w:noWrap w:val="0"/>
                  <w:vAlign w:val="center"/>
                </w:tcPr>
                <w:p>
                  <w:pPr>
                    <w:spacing w:line="300" w:lineRule="exact"/>
                    <w:rPr>
                      <w:rFonts w:hint="eastAsia"/>
                      <w:sz w:val="18"/>
                      <w:szCs w:val="18"/>
                    </w:rPr>
                  </w:pPr>
                  <w:r>
                    <w:rPr>
                      <w:rFonts w:hint="eastAsia"/>
                      <w:sz w:val="18"/>
                      <w:szCs w:val="18"/>
                    </w:rPr>
                    <w:t>等效粘土防渗层Mb≥6.0m， K≤10</w:t>
                  </w:r>
                  <w:r>
                    <w:rPr>
                      <w:rFonts w:hint="eastAsia"/>
                      <w:sz w:val="18"/>
                      <w:szCs w:val="18"/>
                      <w:vertAlign w:val="superscript"/>
                    </w:rPr>
                    <w:t>-7</w:t>
                  </w:r>
                  <w:r>
                    <w:rPr>
                      <w:rFonts w:hint="eastAsia"/>
                      <w:sz w:val="18"/>
                      <w:szCs w:val="18"/>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64" w:hRule="atLeast"/>
                <w:jc w:val="center"/>
              </w:trPr>
              <w:tc>
                <w:tcPr>
                  <w:tcW w:w="587" w:type="dxa"/>
                  <w:noWrap w:val="0"/>
                  <w:vAlign w:val="center"/>
                </w:tcPr>
                <w:p>
                  <w:pPr>
                    <w:spacing w:line="300" w:lineRule="exact"/>
                    <w:jc w:val="center"/>
                    <w:rPr>
                      <w:rFonts w:hint="eastAsia"/>
                      <w:sz w:val="18"/>
                      <w:szCs w:val="18"/>
                    </w:rPr>
                  </w:pPr>
                  <w:r>
                    <w:rPr>
                      <w:rFonts w:hint="eastAsia"/>
                      <w:sz w:val="18"/>
                      <w:szCs w:val="18"/>
                    </w:rPr>
                    <w:t>2</w:t>
                  </w:r>
                </w:p>
              </w:tc>
              <w:tc>
                <w:tcPr>
                  <w:tcW w:w="1300" w:type="dxa"/>
                  <w:noWrap w:val="0"/>
                  <w:vAlign w:val="center"/>
                </w:tcPr>
                <w:p>
                  <w:pPr>
                    <w:spacing w:line="300" w:lineRule="exact"/>
                    <w:jc w:val="center"/>
                    <w:rPr>
                      <w:rFonts w:hint="eastAsia" w:eastAsia="宋体"/>
                      <w:sz w:val="18"/>
                      <w:szCs w:val="18"/>
                      <w:lang w:eastAsia="zh-CN"/>
                    </w:rPr>
                  </w:pPr>
                  <w:r>
                    <w:rPr>
                      <w:rFonts w:hint="eastAsia"/>
                      <w:sz w:val="18"/>
                      <w:szCs w:val="18"/>
                      <w:lang w:eastAsia="zh-CN"/>
                    </w:rPr>
                    <w:t>厂房一、二、水洗车间</w:t>
                  </w:r>
                </w:p>
              </w:tc>
              <w:tc>
                <w:tcPr>
                  <w:tcW w:w="957" w:type="dxa"/>
                  <w:noWrap w:val="0"/>
                  <w:vAlign w:val="center"/>
                </w:tcPr>
                <w:p>
                  <w:pPr>
                    <w:spacing w:line="300" w:lineRule="exact"/>
                    <w:jc w:val="center"/>
                    <w:rPr>
                      <w:rFonts w:hint="eastAsia"/>
                      <w:sz w:val="18"/>
                      <w:szCs w:val="18"/>
                    </w:rPr>
                  </w:pPr>
                  <w:r>
                    <w:rPr>
                      <w:rFonts w:hint="eastAsia"/>
                      <w:sz w:val="18"/>
                      <w:szCs w:val="18"/>
                    </w:rPr>
                    <w:t>易</w:t>
                  </w:r>
                </w:p>
              </w:tc>
              <w:tc>
                <w:tcPr>
                  <w:tcW w:w="1390" w:type="dxa"/>
                  <w:noWrap w:val="0"/>
                  <w:vAlign w:val="center"/>
                </w:tcPr>
                <w:p>
                  <w:pPr>
                    <w:spacing w:line="300" w:lineRule="exact"/>
                    <w:jc w:val="center"/>
                    <w:rPr>
                      <w:rFonts w:hint="eastAsia"/>
                      <w:sz w:val="18"/>
                      <w:szCs w:val="18"/>
                    </w:rPr>
                  </w:pPr>
                  <w:r>
                    <w:rPr>
                      <w:rFonts w:hint="eastAsia"/>
                      <w:sz w:val="18"/>
                      <w:szCs w:val="18"/>
                    </w:rPr>
                    <w:t>中</w:t>
                  </w:r>
                </w:p>
              </w:tc>
              <w:tc>
                <w:tcPr>
                  <w:tcW w:w="1139" w:type="dxa"/>
                  <w:noWrap w:val="0"/>
                  <w:vAlign w:val="center"/>
                </w:tcPr>
                <w:p>
                  <w:pPr>
                    <w:spacing w:line="300" w:lineRule="exact"/>
                    <w:jc w:val="center"/>
                    <w:rPr>
                      <w:rFonts w:hint="eastAsia"/>
                      <w:sz w:val="18"/>
                      <w:szCs w:val="18"/>
                    </w:rPr>
                  </w:pPr>
                  <w:r>
                    <w:rPr>
                      <w:rFonts w:hint="eastAsia"/>
                      <w:sz w:val="18"/>
                      <w:szCs w:val="18"/>
                    </w:rPr>
                    <w:t>持久性污染物</w:t>
                  </w:r>
                </w:p>
              </w:tc>
              <w:tc>
                <w:tcPr>
                  <w:tcW w:w="851" w:type="dxa"/>
                  <w:vMerge w:val="restart"/>
                  <w:noWrap w:val="0"/>
                  <w:vAlign w:val="center"/>
                </w:tcPr>
                <w:p>
                  <w:pPr>
                    <w:spacing w:line="300" w:lineRule="exact"/>
                    <w:jc w:val="center"/>
                    <w:rPr>
                      <w:rFonts w:hint="eastAsia"/>
                      <w:sz w:val="18"/>
                      <w:szCs w:val="18"/>
                    </w:rPr>
                  </w:pPr>
                  <w:r>
                    <w:rPr>
                      <w:rFonts w:hint="eastAsia"/>
                      <w:sz w:val="18"/>
                      <w:szCs w:val="18"/>
                    </w:rPr>
                    <w:t>一般</w:t>
                  </w:r>
                </w:p>
                <w:p>
                  <w:pPr>
                    <w:spacing w:line="300" w:lineRule="exact"/>
                    <w:jc w:val="center"/>
                    <w:rPr>
                      <w:rFonts w:hint="eastAsia"/>
                      <w:sz w:val="18"/>
                      <w:szCs w:val="18"/>
                    </w:rPr>
                  </w:pPr>
                  <w:r>
                    <w:rPr>
                      <w:rFonts w:hint="eastAsia"/>
                      <w:sz w:val="18"/>
                      <w:szCs w:val="18"/>
                    </w:rPr>
                    <w:t>防渗区</w:t>
                  </w:r>
                </w:p>
              </w:tc>
              <w:tc>
                <w:tcPr>
                  <w:tcW w:w="1371" w:type="dxa"/>
                  <w:vMerge w:val="restart"/>
                  <w:noWrap w:val="0"/>
                  <w:vAlign w:val="center"/>
                </w:tcPr>
                <w:p>
                  <w:pPr>
                    <w:spacing w:line="300" w:lineRule="exact"/>
                    <w:rPr>
                      <w:rFonts w:hint="eastAsia"/>
                      <w:sz w:val="18"/>
                      <w:szCs w:val="18"/>
                    </w:rPr>
                  </w:pPr>
                  <w:r>
                    <w:rPr>
                      <w:rFonts w:hint="eastAsia"/>
                      <w:sz w:val="18"/>
                      <w:szCs w:val="18"/>
                    </w:rPr>
                    <w:t>等效粘土防渗层Mb≥1.5m，K≤10</w:t>
                  </w:r>
                  <w:r>
                    <w:rPr>
                      <w:rFonts w:hint="eastAsia"/>
                      <w:sz w:val="18"/>
                      <w:szCs w:val="18"/>
                      <w:vertAlign w:val="superscript"/>
                    </w:rPr>
                    <w:t>-7</w:t>
                  </w:r>
                  <w:r>
                    <w:rPr>
                      <w:rFonts w:hint="eastAsia"/>
                      <w:sz w:val="18"/>
                      <w:szCs w:val="18"/>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64" w:hRule="atLeast"/>
                <w:jc w:val="center"/>
              </w:trPr>
              <w:tc>
                <w:tcPr>
                  <w:tcW w:w="587" w:type="dxa"/>
                  <w:noWrap w:val="0"/>
                  <w:vAlign w:val="center"/>
                </w:tcPr>
                <w:p>
                  <w:pPr>
                    <w:spacing w:line="300" w:lineRule="exact"/>
                    <w:jc w:val="center"/>
                    <w:rPr>
                      <w:rFonts w:hint="eastAsia"/>
                      <w:sz w:val="18"/>
                      <w:szCs w:val="18"/>
                    </w:rPr>
                  </w:pPr>
                  <w:r>
                    <w:rPr>
                      <w:rFonts w:hint="eastAsia"/>
                      <w:sz w:val="18"/>
                      <w:szCs w:val="18"/>
                    </w:rPr>
                    <w:t>3</w:t>
                  </w:r>
                </w:p>
              </w:tc>
              <w:tc>
                <w:tcPr>
                  <w:tcW w:w="1300" w:type="dxa"/>
                  <w:noWrap w:val="0"/>
                  <w:vAlign w:val="center"/>
                </w:tcPr>
                <w:p>
                  <w:pPr>
                    <w:spacing w:line="300" w:lineRule="exact"/>
                    <w:jc w:val="center"/>
                    <w:rPr>
                      <w:sz w:val="18"/>
                      <w:szCs w:val="18"/>
                    </w:rPr>
                  </w:pPr>
                  <w:r>
                    <w:rPr>
                      <w:rFonts w:hint="eastAsia"/>
                      <w:sz w:val="18"/>
                      <w:szCs w:val="18"/>
                    </w:rPr>
                    <w:t>一般固废仓库</w:t>
                  </w:r>
                </w:p>
              </w:tc>
              <w:tc>
                <w:tcPr>
                  <w:tcW w:w="957" w:type="dxa"/>
                  <w:noWrap w:val="0"/>
                  <w:vAlign w:val="center"/>
                </w:tcPr>
                <w:p>
                  <w:pPr>
                    <w:spacing w:line="300" w:lineRule="exact"/>
                    <w:jc w:val="center"/>
                    <w:rPr>
                      <w:rFonts w:hint="eastAsia"/>
                      <w:sz w:val="18"/>
                      <w:szCs w:val="18"/>
                    </w:rPr>
                  </w:pPr>
                  <w:r>
                    <w:rPr>
                      <w:rFonts w:hint="eastAsia"/>
                      <w:sz w:val="18"/>
                      <w:szCs w:val="18"/>
                    </w:rPr>
                    <w:t>易</w:t>
                  </w:r>
                </w:p>
              </w:tc>
              <w:tc>
                <w:tcPr>
                  <w:tcW w:w="1390" w:type="dxa"/>
                  <w:noWrap w:val="0"/>
                  <w:vAlign w:val="center"/>
                </w:tcPr>
                <w:p>
                  <w:pPr>
                    <w:spacing w:line="300" w:lineRule="exact"/>
                    <w:jc w:val="center"/>
                    <w:rPr>
                      <w:rFonts w:hint="eastAsia"/>
                      <w:sz w:val="18"/>
                      <w:szCs w:val="18"/>
                    </w:rPr>
                  </w:pPr>
                  <w:r>
                    <w:rPr>
                      <w:rFonts w:hint="eastAsia"/>
                      <w:sz w:val="18"/>
                      <w:szCs w:val="18"/>
                    </w:rPr>
                    <w:t>中</w:t>
                  </w:r>
                </w:p>
              </w:tc>
              <w:tc>
                <w:tcPr>
                  <w:tcW w:w="1139" w:type="dxa"/>
                  <w:noWrap w:val="0"/>
                  <w:vAlign w:val="center"/>
                </w:tcPr>
                <w:p>
                  <w:pPr>
                    <w:spacing w:line="300" w:lineRule="exact"/>
                    <w:jc w:val="center"/>
                    <w:rPr>
                      <w:rFonts w:hint="eastAsia"/>
                      <w:sz w:val="18"/>
                      <w:szCs w:val="18"/>
                    </w:rPr>
                  </w:pPr>
                  <w:r>
                    <w:rPr>
                      <w:rFonts w:hint="eastAsia"/>
                      <w:sz w:val="18"/>
                      <w:szCs w:val="18"/>
                    </w:rPr>
                    <w:t>持久性污染物</w:t>
                  </w:r>
                </w:p>
              </w:tc>
              <w:tc>
                <w:tcPr>
                  <w:tcW w:w="851" w:type="dxa"/>
                  <w:vMerge w:val="continue"/>
                  <w:noWrap w:val="0"/>
                  <w:vAlign w:val="center"/>
                </w:tcPr>
                <w:p>
                  <w:pPr>
                    <w:spacing w:line="300" w:lineRule="exact"/>
                    <w:jc w:val="center"/>
                    <w:rPr>
                      <w:rFonts w:hint="eastAsia"/>
                      <w:sz w:val="18"/>
                      <w:szCs w:val="18"/>
                    </w:rPr>
                  </w:pPr>
                </w:p>
              </w:tc>
              <w:tc>
                <w:tcPr>
                  <w:tcW w:w="1371" w:type="dxa"/>
                  <w:vMerge w:val="continue"/>
                  <w:noWrap w:val="0"/>
                  <w:vAlign w:val="center"/>
                </w:tcPr>
                <w:p>
                  <w:pPr>
                    <w:spacing w:line="300" w:lineRule="exact"/>
                    <w:rPr>
                      <w:rFonts w:hint="eastAsia"/>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64" w:hRule="atLeast"/>
                <w:jc w:val="center"/>
              </w:trPr>
              <w:tc>
                <w:tcPr>
                  <w:tcW w:w="587" w:type="dxa"/>
                  <w:noWrap w:val="0"/>
                  <w:vAlign w:val="center"/>
                </w:tcPr>
                <w:p>
                  <w:pPr>
                    <w:spacing w:line="300" w:lineRule="exact"/>
                    <w:jc w:val="center"/>
                    <w:rPr>
                      <w:rFonts w:hint="eastAsia"/>
                      <w:sz w:val="18"/>
                      <w:szCs w:val="18"/>
                    </w:rPr>
                  </w:pPr>
                  <w:r>
                    <w:rPr>
                      <w:rFonts w:hint="eastAsia"/>
                      <w:sz w:val="18"/>
                      <w:szCs w:val="18"/>
                    </w:rPr>
                    <w:t>4</w:t>
                  </w:r>
                </w:p>
              </w:tc>
              <w:tc>
                <w:tcPr>
                  <w:tcW w:w="1300" w:type="dxa"/>
                  <w:noWrap w:val="0"/>
                  <w:vAlign w:val="center"/>
                </w:tcPr>
                <w:p>
                  <w:pPr>
                    <w:spacing w:line="300" w:lineRule="exact"/>
                    <w:jc w:val="center"/>
                    <w:rPr>
                      <w:rFonts w:hint="eastAsia" w:eastAsia="宋体"/>
                      <w:sz w:val="18"/>
                      <w:szCs w:val="18"/>
                      <w:lang w:eastAsia="zh-CN"/>
                    </w:rPr>
                  </w:pPr>
                  <w:r>
                    <w:rPr>
                      <w:rFonts w:hint="eastAsia"/>
                      <w:sz w:val="18"/>
                      <w:szCs w:val="18"/>
                    </w:rPr>
                    <w:t>原料仓库</w:t>
                  </w:r>
                  <w:r>
                    <w:rPr>
                      <w:rFonts w:hint="eastAsia"/>
                      <w:sz w:val="18"/>
                      <w:szCs w:val="18"/>
                      <w:lang w:eastAsia="zh-CN"/>
                    </w:rPr>
                    <w:t>、助剂仓库</w:t>
                  </w:r>
                </w:p>
              </w:tc>
              <w:tc>
                <w:tcPr>
                  <w:tcW w:w="957" w:type="dxa"/>
                  <w:noWrap w:val="0"/>
                  <w:vAlign w:val="center"/>
                </w:tcPr>
                <w:p>
                  <w:pPr>
                    <w:spacing w:line="300" w:lineRule="exact"/>
                    <w:jc w:val="center"/>
                    <w:rPr>
                      <w:rFonts w:hint="eastAsia"/>
                      <w:sz w:val="18"/>
                      <w:szCs w:val="18"/>
                    </w:rPr>
                  </w:pPr>
                  <w:r>
                    <w:rPr>
                      <w:rFonts w:hint="eastAsia"/>
                      <w:sz w:val="18"/>
                      <w:szCs w:val="18"/>
                    </w:rPr>
                    <w:t>易</w:t>
                  </w:r>
                </w:p>
              </w:tc>
              <w:tc>
                <w:tcPr>
                  <w:tcW w:w="1390" w:type="dxa"/>
                  <w:noWrap w:val="0"/>
                  <w:vAlign w:val="center"/>
                </w:tcPr>
                <w:p>
                  <w:pPr>
                    <w:spacing w:line="300" w:lineRule="exact"/>
                    <w:jc w:val="center"/>
                    <w:rPr>
                      <w:rFonts w:hint="eastAsia"/>
                      <w:sz w:val="18"/>
                      <w:szCs w:val="18"/>
                    </w:rPr>
                  </w:pPr>
                  <w:r>
                    <w:rPr>
                      <w:rFonts w:hint="eastAsia"/>
                      <w:sz w:val="18"/>
                      <w:szCs w:val="18"/>
                    </w:rPr>
                    <w:t>中</w:t>
                  </w:r>
                </w:p>
              </w:tc>
              <w:tc>
                <w:tcPr>
                  <w:tcW w:w="1139" w:type="dxa"/>
                  <w:noWrap w:val="0"/>
                  <w:vAlign w:val="center"/>
                </w:tcPr>
                <w:p>
                  <w:pPr>
                    <w:spacing w:line="300" w:lineRule="exact"/>
                    <w:jc w:val="center"/>
                    <w:rPr>
                      <w:rFonts w:hint="eastAsia"/>
                      <w:sz w:val="18"/>
                      <w:szCs w:val="18"/>
                    </w:rPr>
                  </w:pPr>
                  <w:r>
                    <w:rPr>
                      <w:rFonts w:hint="eastAsia"/>
                      <w:sz w:val="18"/>
                      <w:szCs w:val="18"/>
                    </w:rPr>
                    <w:t>持久性污染物</w:t>
                  </w:r>
                </w:p>
              </w:tc>
              <w:tc>
                <w:tcPr>
                  <w:tcW w:w="851" w:type="dxa"/>
                  <w:vMerge w:val="continue"/>
                  <w:noWrap w:val="0"/>
                  <w:vAlign w:val="center"/>
                </w:tcPr>
                <w:p>
                  <w:pPr>
                    <w:spacing w:line="300" w:lineRule="exact"/>
                    <w:jc w:val="center"/>
                    <w:rPr>
                      <w:rFonts w:hint="eastAsia"/>
                      <w:sz w:val="18"/>
                      <w:szCs w:val="18"/>
                    </w:rPr>
                  </w:pPr>
                </w:p>
              </w:tc>
              <w:tc>
                <w:tcPr>
                  <w:tcW w:w="1371" w:type="dxa"/>
                  <w:vMerge w:val="continue"/>
                  <w:noWrap w:val="0"/>
                  <w:vAlign w:val="center"/>
                </w:tcPr>
                <w:p>
                  <w:pPr>
                    <w:spacing w:line="300" w:lineRule="exact"/>
                    <w:rPr>
                      <w:rFonts w:hint="eastAsia"/>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64" w:hRule="atLeast"/>
                <w:jc w:val="center"/>
              </w:trPr>
              <w:tc>
                <w:tcPr>
                  <w:tcW w:w="587" w:type="dxa"/>
                  <w:noWrap w:val="0"/>
                  <w:vAlign w:val="center"/>
                </w:tcPr>
                <w:p>
                  <w:pPr>
                    <w:spacing w:line="300" w:lineRule="exact"/>
                    <w:jc w:val="center"/>
                    <w:rPr>
                      <w:rFonts w:hint="eastAsia"/>
                      <w:sz w:val="18"/>
                      <w:szCs w:val="18"/>
                    </w:rPr>
                  </w:pPr>
                  <w:r>
                    <w:rPr>
                      <w:rFonts w:hint="eastAsia"/>
                      <w:sz w:val="18"/>
                      <w:szCs w:val="18"/>
                    </w:rPr>
                    <w:t>5</w:t>
                  </w:r>
                </w:p>
              </w:tc>
              <w:tc>
                <w:tcPr>
                  <w:tcW w:w="1300" w:type="dxa"/>
                  <w:noWrap w:val="0"/>
                  <w:vAlign w:val="center"/>
                </w:tcPr>
                <w:p>
                  <w:pPr>
                    <w:spacing w:line="300" w:lineRule="exact"/>
                    <w:jc w:val="center"/>
                    <w:rPr>
                      <w:rFonts w:hint="eastAsia"/>
                      <w:sz w:val="18"/>
                      <w:szCs w:val="18"/>
                    </w:rPr>
                  </w:pPr>
                  <w:r>
                    <w:rPr>
                      <w:rFonts w:hint="eastAsia"/>
                      <w:sz w:val="18"/>
                      <w:szCs w:val="18"/>
                      <w:lang w:eastAsia="zh-CN"/>
                    </w:rPr>
                    <w:t>半成品仓库、</w:t>
                  </w:r>
                  <w:r>
                    <w:rPr>
                      <w:rFonts w:hint="eastAsia"/>
                      <w:sz w:val="18"/>
                      <w:szCs w:val="18"/>
                    </w:rPr>
                    <w:t>成品仓库</w:t>
                  </w:r>
                </w:p>
              </w:tc>
              <w:tc>
                <w:tcPr>
                  <w:tcW w:w="957" w:type="dxa"/>
                  <w:noWrap w:val="0"/>
                  <w:vAlign w:val="center"/>
                </w:tcPr>
                <w:p>
                  <w:pPr>
                    <w:spacing w:line="300" w:lineRule="exact"/>
                    <w:jc w:val="center"/>
                    <w:rPr>
                      <w:rFonts w:hint="eastAsia"/>
                      <w:sz w:val="18"/>
                      <w:szCs w:val="18"/>
                    </w:rPr>
                  </w:pPr>
                  <w:r>
                    <w:rPr>
                      <w:rFonts w:hint="eastAsia"/>
                      <w:sz w:val="18"/>
                      <w:szCs w:val="18"/>
                    </w:rPr>
                    <w:t>易</w:t>
                  </w:r>
                </w:p>
              </w:tc>
              <w:tc>
                <w:tcPr>
                  <w:tcW w:w="1390" w:type="dxa"/>
                  <w:noWrap w:val="0"/>
                  <w:vAlign w:val="center"/>
                </w:tcPr>
                <w:p>
                  <w:pPr>
                    <w:spacing w:line="300" w:lineRule="exact"/>
                    <w:jc w:val="center"/>
                    <w:rPr>
                      <w:rFonts w:hint="eastAsia"/>
                      <w:sz w:val="18"/>
                      <w:szCs w:val="18"/>
                    </w:rPr>
                  </w:pPr>
                  <w:r>
                    <w:rPr>
                      <w:rFonts w:hint="eastAsia"/>
                      <w:sz w:val="18"/>
                      <w:szCs w:val="18"/>
                    </w:rPr>
                    <w:t>中</w:t>
                  </w:r>
                </w:p>
              </w:tc>
              <w:tc>
                <w:tcPr>
                  <w:tcW w:w="1139" w:type="dxa"/>
                  <w:noWrap w:val="0"/>
                  <w:vAlign w:val="center"/>
                </w:tcPr>
                <w:p>
                  <w:pPr>
                    <w:spacing w:line="300" w:lineRule="exact"/>
                    <w:jc w:val="center"/>
                    <w:rPr>
                      <w:rFonts w:hint="eastAsia"/>
                      <w:sz w:val="18"/>
                      <w:szCs w:val="18"/>
                    </w:rPr>
                  </w:pPr>
                  <w:r>
                    <w:rPr>
                      <w:rFonts w:hint="eastAsia"/>
                      <w:sz w:val="18"/>
                      <w:szCs w:val="18"/>
                    </w:rPr>
                    <w:t>持久性污染物</w:t>
                  </w:r>
                </w:p>
              </w:tc>
              <w:tc>
                <w:tcPr>
                  <w:tcW w:w="851" w:type="dxa"/>
                  <w:vMerge w:val="continue"/>
                  <w:noWrap w:val="0"/>
                  <w:vAlign w:val="center"/>
                </w:tcPr>
                <w:p>
                  <w:pPr>
                    <w:spacing w:line="300" w:lineRule="exact"/>
                    <w:jc w:val="center"/>
                    <w:rPr>
                      <w:rFonts w:hint="eastAsia"/>
                      <w:sz w:val="18"/>
                      <w:szCs w:val="18"/>
                    </w:rPr>
                  </w:pPr>
                </w:p>
              </w:tc>
              <w:tc>
                <w:tcPr>
                  <w:tcW w:w="1371" w:type="dxa"/>
                  <w:vMerge w:val="continue"/>
                  <w:noWrap w:val="0"/>
                  <w:vAlign w:val="center"/>
                </w:tcPr>
                <w:p>
                  <w:pPr>
                    <w:spacing w:line="300" w:lineRule="exact"/>
                    <w:jc w:val="center"/>
                    <w:rPr>
                      <w:rFonts w:hint="eastAsia"/>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633" w:hRule="atLeast"/>
                <w:jc w:val="center"/>
              </w:trPr>
              <w:tc>
                <w:tcPr>
                  <w:tcW w:w="587" w:type="dxa"/>
                  <w:noWrap w:val="0"/>
                  <w:vAlign w:val="center"/>
                </w:tcPr>
                <w:p>
                  <w:pPr>
                    <w:spacing w:line="300" w:lineRule="exact"/>
                    <w:jc w:val="center"/>
                    <w:rPr>
                      <w:rFonts w:hint="eastAsia"/>
                      <w:sz w:val="18"/>
                      <w:szCs w:val="18"/>
                    </w:rPr>
                  </w:pPr>
                  <w:r>
                    <w:rPr>
                      <w:rFonts w:hint="eastAsia"/>
                      <w:sz w:val="18"/>
                      <w:szCs w:val="18"/>
                    </w:rPr>
                    <w:t>6</w:t>
                  </w:r>
                </w:p>
              </w:tc>
              <w:tc>
                <w:tcPr>
                  <w:tcW w:w="1300" w:type="dxa"/>
                  <w:noWrap w:val="0"/>
                  <w:vAlign w:val="center"/>
                </w:tcPr>
                <w:p>
                  <w:pPr>
                    <w:spacing w:line="300" w:lineRule="exact"/>
                    <w:jc w:val="center"/>
                    <w:rPr>
                      <w:sz w:val="18"/>
                      <w:szCs w:val="18"/>
                    </w:rPr>
                  </w:pPr>
                  <w:r>
                    <w:rPr>
                      <w:rFonts w:hint="eastAsia"/>
                      <w:sz w:val="18"/>
                      <w:szCs w:val="18"/>
                    </w:rPr>
                    <w:t>办公区域</w:t>
                  </w:r>
                </w:p>
              </w:tc>
              <w:tc>
                <w:tcPr>
                  <w:tcW w:w="957" w:type="dxa"/>
                  <w:noWrap w:val="0"/>
                  <w:vAlign w:val="center"/>
                </w:tcPr>
                <w:p>
                  <w:pPr>
                    <w:spacing w:line="300" w:lineRule="exact"/>
                    <w:jc w:val="center"/>
                    <w:rPr>
                      <w:rFonts w:hint="eastAsia"/>
                      <w:sz w:val="18"/>
                      <w:szCs w:val="18"/>
                    </w:rPr>
                  </w:pPr>
                  <w:r>
                    <w:rPr>
                      <w:rFonts w:hint="eastAsia"/>
                      <w:sz w:val="18"/>
                      <w:szCs w:val="18"/>
                    </w:rPr>
                    <w:t>易</w:t>
                  </w:r>
                </w:p>
              </w:tc>
              <w:tc>
                <w:tcPr>
                  <w:tcW w:w="1390" w:type="dxa"/>
                  <w:noWrap w:val="0"/>
                  <w:vAlign w:val="center"/>
                </w:tcPr>
                <w:p>
                  <w:pPr>
                    <w:spacing w:line="300" w:lineRule="exact"/>
                    <w:jc w:val="center"/>
                    <w:rPr>
                      <w:rFonts w:hint="eastAsia"/>
                      <w:sz w:val="18"/>
                      <w:szCs w:val="18"/>
                    </w:rPr>
                  </w:pPr>
                  <w:r>
                    <w:rPr>
                      <w:rFonts w:hint="eastAsia"/>
                      <w:sz w:val="18"/>
                      <w:szCs w:val="18"/>
                    </w:rPr>
                    <w:t>中</w:t>
                  </w:r>
                </w:p>
              </w:tc>
              <w:tc>
                <w:tcPr>
                  <w:tcW w:w="1139" w:type="dxa"/>
                  <w:noWrap w:val="0"/>
                  <w:vAlign w:val="center"/>
                </w:tcPr>
                <w:p>
                  <w:pPr>
                    <w:spacing w:line="300" w:lineRule="exact"/>
                    <w:jc w:val="center"/>
                    <w:rPr>
                      <w:rFonts w:hint="eastAsia"/>
                      <w:sz w:val="18"/>
                      <w:szCs w:val="18"/>
                    </w:rPr>
                  </w:pPr>
                  <w:r>
                    <w:rPr>
                      <w:rFonts w:hint="eastAsia"/>
                      <w:sz w:val="18"/>
                      <w:szCs w:val="18"/>
                    </w:rPr>
                    <w:t>其他类型</w:t>
                  </w:r>
                </w:p>
              </w:tc>
              <w:tc>
                <w:tcPr>
                  <w:tcW w:w="851" w:type="dxa"/>
                  <w:noWrap w:val="0"/>
                  <w:vAlign w:val="center"/>
                </w:tcPr>
                <w:p>
                  <w:pPr>
                    <w:spacing w:line="300" w:lineRule="exact"/>
                    <w:jc w:val="center"/>
                    <w:rPr>
                      <w:rFonts w:hint="eastAsia"/>
                      <w:sz w:val="18"/>
                      <w:szCs w:val="18"/>
                    </w:rPr>
                  </w:pPr>
                  <w:r>
                    <w:rPr>
                      <w:rFonts w:hint="eastAsia"/>
                      <w:sz w:val="18"/>
                      <w:szCs w:val="18"/>
                    </w:rPr>
                    <w:t>简单</w:t>
                  </w:r>
                </w:p>
                <w:p>
                  <w:pPr>
                    <w:spacing w:line="300" w:lineRule="exact"/>
                    <w:jc w:val="center"/>
                    <w:rPr>
                      <w:rFonts w:hint="eastAsia"/>
                      <w:sz w:val="18"/>
                      <w:szCs w:val="18"/>
                    </w:rPr>
                  </w:pPr>
                  <w:r>
                    <w:rPr>
                      <w:rFonts w:hint="eastAsia"/>
                      <w:sz w:val="18"/>
                      <w:szCs w:val="18"/>
                    </w:rPr>
                    <w:t>防渗区</w:t>
                  </w:r>
                </w:p>
              </w:tc>
              <w:tc>
                <w:tcPr>
                  <w:tcW w:w="1371" w:type="dxa"/>
                  <w:noWrap w:val="0"/>
                  <w:vAlign w:val="center"/>
                </w:tcPr>
                <w:p>
                  <w:pPr>
                    <w:spacing w:line="300" w:lineRule="exact"/>
                    <w:jc w:val="center"/>
                    <w:rPr>
                      <w:rFonts w:hint="eastAsia"/>
                      <w:sz w:val="18"/>
                      <w:szCs w:val="18"/>
                    </w:rPr>
                  </w:pPr>
                  <w:r>
                    <w:rPr>
                      <w:rFonts w:hint="eastAsia"/>
                      <w:sz w:val="18"/>
                      <w:szCs w:val="18"/>
                    </w:rPr>
                    <w:t>一般地面硬化</w:t>
                  </w:r>
                </w:p>
              </w:tc>
            </w:tr>
          </w:tbl>
          <w:p>
            <w:pPr>
              <w:spacing w:line="360" w:lineRule="auto"/>
              <w:ind w:firstLine="480"/>
              <w:rPr>
                <w:szCs w:val="21"/>
              </w:rPr>
            </w:pPr>
            <w:r>
              <w:rPr>
                <w:szCs w:val="21"/>
              </w:rPr>
              <w:t>通过采取以上措施后，可以有效防止地下水、土壤污染。</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b/>
                <w:bCs/>
                <w:szCs w:val="21"/>
              </w:rPr>
            </w:pPr>
            <w:r>
              <w:rPr>
                <w:b/>
                <w:bCs/>
                <w:szCs w:val="21"/>
              </w:rPr>
              <w:t>（六）生态环境影响分析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szCs w:val="21"/>
              </w:rPr>
            </w:pPr>
            <w:r>
              <w:rPr>
                <w:szCs w:val="21"/>
              </w:rPr>
              <w:t>本项目依托原有用地，不新增用地，项目性质、选址符合区域生态功能区划，不会对生态环境产生影响。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b/>
                <w:bCs/>
                <w:szCs w:val="21"/>
              </w:rPr>
            </w:pPr>
            <w:r>
              <w:rPr>
                <w:b/>
                <w:bCs/>
                <w:szCs w:val="21"/>
              </w:rPr>
              <w:t>（七）环境风险影响分析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szCs w:val="21"/>
              </w:rPr>
            </w:pPr>
            <w:r>
              <w:rPr>
                <w:rFonts w:hint="eastAsia"/>
                <w:szCs w:val="21"/>
                <w:lang w:val="en-US" w:eastAsia="zh-CN"/>
              </w:rPr>
              <w:t>1、</w:t>
            </w:r>
            <w:r>
              <w:rPr>
                <w:rFonts w:hint="eastAsia"/>
                <w:szCs w:val="21"/>
              </w:rPr>
              <w:t>风险调查</w:t>
            </w:r>
          </w:p>
          <w:p>
            <w:pPr>
              <w:adjustRightInd w:val="0"/>
              <w:snapToGrid w:val="0"/>
              <w:spacing w:line="500" w:lineRule="exact"/>
              <w:ind w:firstLine="420" w:firstLineChars="200"/>
              <w:rPr>
                <w:rFonts w:hint="eastAsia"/>
                <w:bCs/>
                <w:color w:val="auto"/>
                <w:szCs w:val="21"/>
              </w:rPr>
            </w:pPr>
            <w:r>
              <w:rPr>
                <w:rFonts w:hint="eastAsia"/>
                <w:bCs/>
                <w:color w:val="auto"/>
                <w:szCs w:val="21"/>
              </w:rPr>
              <w:t>对照《建设项目环境风险评价技术导则》（HJ169-2018）、《企业突发环境事件风险分级方法》（HJ941-2018）、《危险化学品名录》（2015年版）、《危险化学品重大危险源辨识》（GB18218-2018），项目涉及的危险物质如下：</w:t>
            </w:r>
          </w:p>
          <w:p>
            <w:pPr>
              <w:adjustRightInd w:val="0"/>
              <w:snapToGrid w:val="0"/>
              <w:spacing w:line="500" w:lineRule="exact"/>
              <w:jc w:val="center"/>
              <w:rPr>
                <w:rFonts w:hint="eastAsia"/>
                <w:b/>
                <w:szCs w:val="21"/>
              </w:rPr>
            </w:pPr>
            <w:r>
              <w:rPr>
                <w:rFonts w:hint="eastAsia"/>
                <w:b/>
                <w:szCs w:val="21"/>
              </w:rPr>
              <w:t>表4-2</w:t>
            </w:r>
            <w:r>
              <w:rPr>
                <w:rFonts w:hint="eastAsia"/>
                <w:b/>
                <w:szCs w:val="21"/>
                <w:lang w:val="en-US" w:eastAsia="zh-CN"/>
              </w:rPr>
              <w:t xml:space="preserve">1 </w:t>
            </w:r>
            <w:r>
              <w:rPr>
                <w:rFonts w:hint="eastAsia"/>
                <w:b/>
                <w:szCs w:val="21"/>
              </w:rPr>
              <w:t>危险物质使用量及临界量</w:t>
            </w:r>
          </w:p>
          <w:tbl>
            <w:tblPr>
              <w:tblStyle w:val="11"/>
              <w:tblW w:w="75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87"/>
              <w:gridCol w:w="1650"/>
              <w:gridCol w:w="1305"/>
              <w:gridCol w:w="1155"/>
              <w:gridCol w:w="1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6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物质名称</w:t>
                  </w:r>
                </w:p>
              </w:tc>
              <w:tc>
                <w:tcPr>
                  <w:tcW w:w="16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最大贮存量（q</w:t>
                  </w:r>
                  <w:r>
                    <w:rPr>
                      <w:rFonts w:hint="default" w:ascii="Times New Roman" w:hAnsi="Times New Roman" w:cs="Times New Roman"/>
                      <w:sz w:val="18"/>
                      <w:szCs w:val="18"/>
                      <w:vertAlign w:val="subscript"/>
                    </w:rPr>
                    <w:t>n</w:t>
                  </w:r>
                  <w:r>
                    <w:rPr>
                      <w:rFonts w:hint="default" w:ascii="Times New Roman" w:hAnsi="Times New Roman" w:cs="Times New Roman"/>
                      <w:sz w:val="18"/>
                      <w:szCs w:val="18"/>
                    </w:rPr>
                    <w:t>/t）</w:t>
                  </w:r>
                </w:p>
              </w:tc>
              <w:tc>
                <w:tcPr>
                  <w:tcW w:w="1305"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临界量（Q</w:t>
                  </w:r>
                  <w:r>
                    <w:rPr>
                      <w:rFonts w:hint="default" w:ascii="Times New Roman" w:hAnsi="Times New Roman" w:cs="Times New Roman"/>
                      <w:sz w:val="18"/>
                      <w:szCs w:val="18"/>
                      <w:vertAlign w:val="subscript"/>
                    </w:rPr>
                    <w:t>n</w:t>
                  </w:r>
                  <w:r>
                    <w:rPr>
                      <w:rFonts w:hint="default" w:ascii="Times New Roman" w:hAnsi="Times New Roman" w:cs="Times New Roman"/>
                      <w:sz w:val="18"/>
                      <w:szCs w:val="18"/>
                    </w:rPr>
                    <w:t>/t）</w:t>
                  </w:r>
                </w:p>
              </w:tc>
              <w:tc>
                <w:tcPr>
                  <w:tcW w:w="1155"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Q值</w:t>
                  </w:r>
                </w:p>
              </w:tc>
              <w:tc>
                <w:tcPr>
                  <w:tcW w:w="114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贮存位置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dxa"/>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1687" w:type="dxa"/>
                  <w:noWrap w:val="0"/>
                  <w:vAlign w:val="center"/>
                </w:tcPr>
                <w:p>
                  <w:pPr>
                    <w:jc w:val="center"/>
                    <w:rPr>
                      <w:rFonts w:hint="default" w:ascii="Times New Roman" w:hAnsi="Times New Roman" w:eastAsia="宋体" w:cs="Times New Roman"/>
                      <w:sz w:val="18"/>
                      <w:szCs w:val="18"/>
                      <w:lang w:val="en-US" w:eastAsia="zh-CN"/>
                    </w:rPr>
                  </w:pPr>
                  <w:r>
                    <w:rPr>
                      <w:rFonts w:hint="eastAsia"/>
                      <w:sz w:val="18"/>
                      <w:szCs w:val="18"/>
                      <w:lang w:eastAsia="zh-CN"/>
                    </w:rPr>
                    <w:t>洗涤</w:t>
                  </w:r>
                  <w:r>
                    <w:rPr>
                      <w:rFonts w:hint="eastAsia"/>
                      <w:sz w:val="18"/>
                      <w:szCs w:val="18"/>
                    </w:rPr>
                    <w:t>剂</w:t>
                  </w:r>
                </w:p>
              </w:tc>
              <w:tc>
                <w:tcPr>
                  <w:tcW w:w="1650" w:type="dxa"/>
                  <w:noWrap w:val="0"/>
                  <w:vAlign w:val="center"/>
                </w:tcPr>
                <w:p>
                  <w:pPr>
                    <w:autoSpaceDE w:val="0"/>
                    <w:autoSpaceDN w:val="0"/>
                    <w:snapToGrid w:val="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0.1</w:t>
                  </w:r>
                  <w:r>
                    <w:rPr>
                      <w:rFonts w:hint="default" w:ascii="Times New Roman" w:hAnsi="Times New Roman" w:cs="Times New Roman"/>
                      <w:snapToGrid w:val="0"/>
                      <w:color w:val="auto"/>
                      <w:kern w:val="0"/>
                      <w:sz w:val="18"/>
                      <w:szCs w:val="18"/>
                    </w:rPr>
                    <w:t>t/a</w:t>
                  </w:r>
                </w:p>
              </w:tc>
              <w:tc>
                <w:tcPr>
                  <w:tcW w:w="1305" w:type="dxa"/>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50</w:t>
                  </w:r>
                </w:p>
              </w:tc>
              <w:tc>
                <w:tcPr>
                  <w:tcW w:w="1155" w:type="dxa"/>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0.002</w:t>
                  </w:r>
                </w:p>
              </w:tc>
              <w:tc>
                <w:tcPr>
                  <w:tcW w:w="1140"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助剂</w:t>
                  </w:r>
                  <w:r>
                    <w:rPr>
                      <w:rFonts w:hint="default" w:ascii="Times New Roman" w:hAnsi="Times New Roman" w:cs="Times New Roman"/>
                      <w:sz w:val="18"/>
                      <w:szCs w:val="18"/>
                      <w:lang w:val="en-US"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9" w:type="dxa"/>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1687" w:type="dxa"/>
                  <w:noWrap w:val="0"/>
                  <w:vAlign w:val="center"/>
                </w:tcPr>
                <w:p>
                  <w:pPr>
                    <w:jc w:val="center"/>
                    <w:rPr>
                      <w:rFonts w:hint="default" w:ascii="Times New Roman" w:hAnsi="Times New Roman" w:eastAsia="宋体" w:cs="Times New Roman"/>
                      <w:sz w:val="18"/>
                      <w:szCs w:val="18"/>
                      <w:lang w:val="en-US" w:eastAsia="zh-CN"/>
                    </w:rPr>
                  </w:pPr>
                  <w:r>
                    <w:rPr>
                      <w:rFonts w:hint="eastAsia"/>
                      <w:sz w:val="18"/>
                      <w:szCs w:val="18"/>
                      <w:lang w:eastAsia="zh-CN"/>
                    </w:rPr>
                    <w:t>柔软蓬松</w:t>
                  </w:r>
                  <w:r>
                    <w:rPr>
                      <w:rFonts w:hint="eastAsia"/>
                      <w:sz w:val="18"/>
                      <w:szCs w:val="18"/>
                    </w:rPr>
                    <w:t>剂</w:t>
                  </w:r>
                </w:p>
              </w:tc>
              <w:tc>
                <w:tcPr>
                  <w:tcW w:w="1650" w:type="dxa"/>
                  <w:noWrap w:val="0"/>
                  <w:vAlign w:val="center"/>
                </w:tcPr>
                <w:p>
                  <w:pPr>
                    <w:autoSpaceDE w:val="0"/>
                    <w:autoSpaceDN w:val="0"/>
                    <w:snapToGrid w:val="0"/>
                    <w:jc w:val="center"/>
                    <w:rPr>
                      <w:rFonts w:hint="default" w:ascii="Times New Roman" w:hAnsi="Times New Roman" w:cs="Times New Roman"/>
                      <w:sz w:val="18"/>
                      <w:szCs w:val="18"/>
                      <w:lang w:val="en-US" w:eastAsia="zh-CN"/>
                    </w:rPr>
                  </w:pPr>
                  <w:r>
                    <w:rPr>
                      <w:rFonts w:hint="eastAsia" w:cs="Times New Roman"/>
                      <w:sz w:val="18"/>
                      <w:szCs w:val="18"/>
                      <w:lang w:val="en-US" w:eastAsia="zh-CN"/>
                    </w:rPr>
                    <w:t>1</w:t>
                  </w:r>
                  <w:r>
                    <w:rPr>
                      <w:rFonts w:hint="default" w:ascii="Times New Roman" w:hAnsi="Times New Roman" w:cs="Times New Roman"/>
                      <w:snapToGrid w:val="0"/>
                      <w:color w:val="auto"/>
                      <w:kern w:val="0"/>
                      <w:sz w:val="18"/>
                      <w:szCs w:val="18"/>
                    </w:rPr>
                    <w:t>t/a</w:t>
                  </w:r>
                </w:p>
              </w:tc>
              <w:tc>
                <w:tcPr>
                  <w:tcW w:w="1305" w:type="dxa"/>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50</w:t>
                  </w:r>
                </w:p>
              </w:tc>
              <w:tc>
                <w:tcPr>
                  <w:tcW w:w="1155" w:type="dxa"/>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0.02</w:t>
                  </w:r>
                </w:p>
              </w:tc>
              <w:tc>
                <w:tcPr>
                  <w:tcW w:w="1140" w:type="dxa"/>
                  <w:noWrap w:val="0"/>
                  <w:vAlign w:val="center"/>
                </w:tcPr>
                <w:p>
                  <w:pPr>
                    <w:jc w:val="center"/>
                    <w:rPr>
                      <w:rFonts w:hint="default" w:ascii="Times New Roman" w:hAnsi="Times New Roman" w:cs="Times New Roman"/>
                      <w:sz w:val="18"/>
                      <w:szCs w:val="18"/>
                    </w:rPr>
                  </w:pPr>
                  <w:r>
                    <w:rPr>
                      <w:rFonts w:hint="eastAsia" w:cs="Times New Roman"/>
                      <w:sz w:val="18"/>
                      <w:szCs w:val="18"/>
                      <w:lang w:val="en-US" w:eastAsia="zh-CN"/>
                    </w:rPr>
                    <w:t>助剂</w:t>
                  </w:r>
                  <w:r>
                    <w:rPr>
                      <w:rFonts w:hint="default" w:ascii="Times New Roman" w:hAnsi="Times New Roman" w:cs="Times New Roman"/>
                      <w:sz w:val="18"/>
                      <w:szCs w:val="18"/>
                      <w:lang w:val="en-US"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09" w:type="dxa"/>
                  <w:noWrap w:val="0"/>
                  <w:vAlign w:val="center"/>
                </w:tcPr>
                <w:p>
                  <w:pPr>
                    <w:jc w:val="center"/>
                    <w:rPr>
                      <w:rFonts w:hint="default" w:cs="Times New Roman"/>
                      <w:sz w:val="18"/>
                      <w:szCs w:val="18"/>
                      <w:lang w:val="en-US" w:eastAsia="zh-CN"/>
                    </w:rPr>
                  </w:pPr>
                  <w:r>
                    <w:rPr>
                      <w:rFonts w:hint="eastAsia" w:cs="Times New Roman"/>
                      <w:sz w:val="18"/>
                      <w:szCs w:val="18"/>
                      <w:lang w:val="en-US" w:eastAsia="zh-CN"/>
                    </w:rPr>
                    <w:t>3</w:t>
                  </w:r>
                </w:p>
              </w:tc>
              <w:tc>
                <w:tcPr>
                  <w:tcW w:w="1687" w:type="dxa"/>
                  <w:noWrap w:val="0"/>
                  <w:vAlign w:val="center"/>
                </w:tcPr>
                <w:p>
                  <w:pPr>
                    <w:jc w:val="center"/>
                    <w:rPr>
                      <w:rFonts w:hint="eastAsia"/>
                      <w:sz w:val="18"/>
                      <w:szCs w:val="18"/>
                    </w:rPr>
                  </w:pPr>
                  <w:r>
                    <w:rPr>
                      <w:rFonts w:hint="eastAsia"/>
                      <w:color w:val="auto"/>
                      <w:sz w:val="18"/>
                      <w:szCs w:val="18"/>
                      <w:lang w:val="en-US" w:eastAsia="zh-CN"/>
                    </w:rPr>
                    <w:t>废包装桶</w:t>
                  </w:r>
                </w:p>
              </w:tc>
              <w:tc>
                <w:tcPr>
                  <w:tcW w:w="1650" w:type="dxa"/>
                  <w:noWrap w:val="0"/>
                  <w:vAlign w:val="center"/>
                </w:tcPr>
                <w:p>
                  <w:pPr>
                    <w:autoSpaceDE w:val="0"/>
                    <w:autoSpaceDN w:val="0"/>
                    <w:snapToGrid w:val="0"/>
                    <w:jc w:val="center"/>
                    <w:rPr>
                      <w:rFonts w:hint="default" w:cs="Times New Roman"/>
                      <w:sz w:val="18"/>
                      <w:szCs w:val="18"/>
                      <w:lang w:val="en-US" w:eastAsia="zh-CN"/>
                    </w:rPr>
                  </w:pPr>
                  <w:r>
                    <w:rPr>
                      <w:rFonts w:hint="eastAsia" w:cs="Times New Roman"/>
                      <w:sz w:val="18"/>
                      <w:szCs w:val="18"/>
                      <w:lang w:val="en-US" w:eastAsia="zh-CN"/>
                    </w:rPr>
                    <w:t>0.24t/a</w:t>
                  </w:r>
                </w:p>
              </w:tc>
              <w:tc>
                <w:tcPr>
                  <w:tcW w:w="1305" w:type="dxa"/>
                  <w:noWrap w:val="0"/>
                  <w:vAlign w:val="center"/>
                </w:tcPr>
                <w:p>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50</w:t>
                  </w:r>
                </w:p>
              </w:tc>
              <w:tc>
                <w:tcPr>
                  <w:tcW w:w="1155" w:type="dxa"/>
                  <w:noWrap w:val="0"/>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0.0048</w:t>
                  </w:r>
                </w:p>
              </w:tc>
              <w:tc>
                <w:tcPr>
                  <w:tcW w:w="1140" w:type="dxa"/>
                  <w:vMerge w:val="restart"/>
                  <w:noWrap w:val="0"/>
                  <w:vAlign w:val="center"/>
                </w:tcPr>
                <w:p>
                  <w:pPr>
                    <w:jc w:val="center"/>
                    <w:rPr>
                      <w:rFonts w:hint="eastAsia" w:ascii="Times New Roman" w:hAnsi="Times New Roman" w:eastAsia="宋体" w:cs="Times New Roman"/>
                      <w:sz w:val="18"/>
                      <w:szCs w:val="18"/>
                      <w:lang w:eastAsia="zh-CN"/>
                    </w:rPr>
                  </w:pPr>
                  <w:r>
                    <w:rPr>
                      <w:rFonts w:hint="eastAsia" w:cs="Times New Roman"/>
                      <w:sz w:val="18"/>
                      <w:szCs w:val="18"/>
                      <w:lang w:eastAsia="zh-CN"/>
                    </w:rPr>
                    <w:t>危废仓库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09" w:type="dxa"/>
                  <w:noWrap w:val="0"/>
                  <w:vAlign w:val="center"/>
                </w:tcPr>
                <w:p>
                  <w:pPr>
                    <w:jc w:val="center"/>
                    <w:rPr>
                      <w:rFonts w:hint="default" w:cs="Times New Roman"/>
                      <w:sz w:val="18"/>
                      <w:szCs w:val="18"/>
                      <w:lang w:val="en-US" w:eastAsia="zh-CN"/>
                    </w:rPr>
                  </w:pPr>
                  <w:r>
                    <w:rPr>
                      <w:rFonts w:hint="eastAsia" w:cs="Times New Roman"/>
                      <w:sz w:val="18"/>
                      <w:szCs w:val="18"/>
                      <w:lang w:val="en-US" w:eastAsia="zh-CN"/>
                    </w:rPr>
                    <w:t>4</w:t>
                  </w:r>
                </w:p>
              </w:tc>
              <w:tc>
                <w:tcPr>
                  <w:tcW w:w="1687" w:type="dxa"/>
                  <w:noWrap w:val="0"/>
                  <w:vAlign w:val="center"/>
                </w:tcPr>
                <w:p>
                  <w:pPr>
                    <w:jc w:val="center"/>
                    <w:rPr>
                      <w:rFonts w:hint="eastAsia"/>
                      <w:sz w:val="18"/>
                      <w:szCs w:val="18"/>
                    </w:rPr>
                  </w:pPr>
                  <w:r>
                    <w:rPr>
                      <w:rFonts w:hint="eastAsia"/>
                      <w:color w:val="auto"/>
                      <w:sz w:val="18"/>
                      <w:szCs w:val="18"/>
                      <w:lang w:val="en-US" w:eastAsia="zh-CN"/>
                    </w:rPr>
                    <w:t>污泥</w:t>
                  </w:r>
                </w:p>
              </w:tc>
              <w:tc>
                <w:tcPr>
                  <w:tcW w:w="1650" w:type="dxa"/>
                  <w:noWrap w:val="0"/>
                  <w:vAlign w:val="center"/>
                </w:tcPr>
                <w:p>
                  <w:pPr>
                    <w:autoSpaceDE w:val="0"/>
                    <w:autoSpaceDN w:val="0"/>
                    <w:snapToGrid w:val="0"/>
                    <w:jc w:val="center"/>
                    <w:rPr>
                      <w:rFonts w:hint="default" w:cs="Times New Roman"/>
                      <w:sz w:val="18"/>
                      <w:szCs w:val="18"/>
                      <w:lang w:val="en-US" w:eastAsia="zh-CN"/>
                    </w:rPr>
                  </w:pPr>
                  <w:r>
                    <w:rPr>
                      <w:rFonts w:hint="eastAsia" w:cs="Times New Roman"/>
                      <w:sz w:val="18"/>
                      <w:szCs w:val="18"/>
                      <w:lang w:val="en-US" w:eastAsia="zh-CN"/>
                    </w:rPr>
                    <w:t>0.75t/a</w:t>
                  </w:r>
                </w:p>
              </w:tc>
              <w:tc>
                <w:tcPr>
                  <w:tcW w:w="1305" w:type="dxa"/>
                  <w:noWrap w:val="0"/>
                  <w:vAlign w:val="center"/>
                </w:tcPr>
                <w:p>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50</w:t>
                  </w:r>
                </w:p>
              </w:tc>
              <w:tc>
                <w:tcPr>
                  <w:tcW w:w="1155" w:type="dxa"/>
                  <w:noWrap w:val="0"/>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0.015</w:t>
                  </w:r>
                </w:p>
              </w:tc>
              <w:tc>
                <w:tcPr>
                  <w:tcW w:w="1140" w:type="dxa"/>
                  <w:vMerge w:val="continue"/>
                  <w:noWrap w:val="0"/>
                  <w:vAlign w:val="center"/>
                </w:tcPr>
                <w:p>
                  <w:pPr>
                    <w:jc w:val="center"/>
                    <w:rPr>
                      <w:rFonts w:hint="eastAsia" w:cs="Times New Roman"/>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09" w:type="dxa"/>
                  <w:noWrap w:val="0"/>
                  <w:vAlign w:val="center"/>
                </w:tcPr>
                <w:p>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5</w:t>
                  </w:r>
                </w:p>
              </w:tc>
              <w:tc>
                <w:tcPr>
                  <w:tcW w:w="1687" w:type="dxa"/>
                  <w:noWrap w:val="0"/>
                  <w:vAlign w:val="center"/>
                </w:tcPr>
                <w:p>
                  <w:pPr>
                    <w:jc w:val="center"/>
                    <w:rPr>
                      <w:rFonts w:hint="default" w:ascii="Times New Roman" w:hAnsi="Times New Roman" w:cs="Times New Roman"/>
                      <w:sz w:val="18"/>
                      <w:szCs w:val="18"/>
                      <w:lang w:val="en-US" w:eastAsia="zh-CN"/>
                    </w:rPr>
                  </w:pPr>
                  <w:r>
                    <w:rPr>
                      <w:rFonts w:hint="eastAsia"/>
                      <w:sz w:val="18"/>
                      <w:szCs w:val="18"/>
                    </w:rPr>
                    <w:t>废水在线监控设备废液</w:t>
                  </w:r>
                </w:p>
              </w:tc>
              <w:tc>
                <w:tcPr>
                  <w:tcW w:w="1650" w:type="dxa"/>
                  <w:noWrap w:val="0"/>
                  <w:vAlign w:val="center"/>
                </w:tcPr>
                <w:p>
                  <w:pPr>
                    <w:autoSpaceDE w:val="0"/>
                    <w:autoSpaceDN w:val="0"/>
                    <w:snapToGrid w:val="0"/>
                    <w:jc w:val="center"/>
                    <w:rPr>
                      <w:rFonts w:hint="default" w:ascii="Times New Roman" w:hAnsi="Times New Roman" w:cs="Times New Roman"/>
                      <w:sz w:val="18"/>
                      <w:szCs w:val="18"/>
                      <w:lang w:val="en-US" w:eastAsia="zh-CN"/>
                    </w:rPr>
                  </w:pPr>
                  <w:r>
                    <w:rPr>
                      <w:rFonts w:hint="eastAsia" w:cs="Times New Roman"/>
                      <w:sz w:val="18"/>
                      <w:szCs w:val="18"/>
                      <w:lang w:val="en-US" w:eastAsia="zh-CN"/>
                    </w:rPr>
                    <w:t>1</w:t>
                  </w:r>
                  <w:r>
                    <w:rPr>
                      <w:rFonts w:hint="default" w:ascii="Times New Roman" w:hAnsi="Times New Roman" w:cs="Times New Roman"/>
                      <w:snapToGrid w:val="0"/>
                      <w:color w:val="auto"/>
                      <w:kern w:val="0"/>
                      <w:sz w:val="18"/>
                      <w:szCs w:val="18"/>
                    </w:rPr>
                    <w:t>t/a</w:t>
                  </w:r>
                </w:p>
              </w:tc>
              <w:tc>
                <w:tcPr>
                  <w:tcW w:w="1305" w:type="dxa"/>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50</w:t>
                  </w:r>
                </w:p>
              </w:tc>
              <w:tc>
                <w:tcPr>
                  <w:tcW w:w="1155" w:type="dxa"/>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0.02</w:t>
                  </w:r>
                </w:p>
              </w:tc>
              <w:tc>
                <w:tcPr>
                  <w:tcW w:w="1140" w:type="dxa"/>
                  <w:vMerge w:val="continue"/>
                  <w:noWrap w:val="0"/>
                  <w:vAlign w:val="center"/>
                </w:tcPr>
                <w:p>
                  <w:pPr>
                    <w:jc w:val="center"/>
                    <w:rPr>
                      <w:rFonts w:hint="eastAsia" w:ascii="Times New Roman" w:hAnsi="Times New Roman" w:eastAsia="宋体" w:cs="Times New Roman"/>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251" w:type="dxa"/>
                  <w:gridSpan w:val="4"/>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1155"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0.0618</w:t>
                  </w:r>
                </w:p>
              </w:tc>
              <w:tc>
                <w:tcPr>
                  <w:tcW w:w="114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546" w:type="dxa"/>
                  <w:gridSpan w:val="6"/>
                  <w:noWrap w:val="0"/>
                  <w:vAlign w:val="center"/>
                </w:tcPr>
                <w:p>
                  <w:pPr>
                    <w:jc w:val="both"/>
                    <w:rPr>
                      <w:rFonts w:hint="default" w:ascii="Times New Roman" w:hAnsi="Times New Roman" w:cs="Times New Roman"/>
                      <w:sz w:val="18"/>
                      <w:szCs w:val="18"/>
                      <w:lang w:val="en-US"/>
                    </w:rPr>
                  </w:pPr>
                  <w:r>
                    <w:rPr>
                      <w:rFonts w:hint="default" w:ascii="Times New Roman" w:hAnsi="Times New Roman" w:cs="Times New Roman"/>
                      <w:sz w:val="18"/>
                      <w:szCs w:val="18"/>
                      <w:lang w:eastAsia="zh-CN"/>
                    </w:rPr>
                    <w:t>注：危险废物未列入《建设项目环境风险评价技术导则》（HJ169-2018）附录B突发环境事件风险物质及临界量表中，参照表B.2危害水环境物质推荐临界量计算临界值。</w:t>
                  </w:r>
                </w:p>
              </w:tc>
            </w:tr>
          </w:tbl>
          <w:p>
            <w:pPr>
              <w:widowControl/>
              <w:spacing w:line="500" w:lineRule="exact"/>
              <w:ind w:firstLine="420" w:firstLineChars="200"/>
              <w:jc w:val="left"/>
              <w:rPr>
                <w:szCs w:val="21"/>
              </w:rPr>
            </w:pPr>
            <w:r>
              <w:rPr>
                <w:color w:val="000000"/>
                <w:kern w:val="0"/>
                <w:szCs w:val="21"/>
                <w:lang w:bidi="ar"/>
              </w:rPr>
              <w:t>综上，Q=</w:t>
            </w:r>
            <w:r>
              <w:rPr>
                <w:rFonts w:hint="eastAsia"/>
                <w:color w:val="000000"/>
                <w:kern w:val="0"/>
                <w:szCs w:val="21"/>
                <w:lang w:val="en-US" w:eastAsia="zh-CN" w:bidi="ar"/>
              </w:rPr>
              <w:t>0.0618</w:t>
            </w:r>
            <w:r>
              <w:rPr>
                <w:color w:val="000000"/>
                <w:kern w:val="0"/>
                <w:szCs w:val="21"/>
                <w:lang w:bidi="ar"/>
              </w:rPr>
              <w:t>＜1 因此本项目环境风险潜势为I。</w:t>
            </w:r>
          </w:p>
          <w:p>
            <w:pPr>
              <w:adjustRightInd w:val="0"/>
              <w:snapToGrid w:val="0"/>
              <w:spacing w:line="500" w:lineRule="exact"/>
              <w:ind w:firstLine="420" w:firstLineChars="200"/>
              <w:rPr>
                <w:rFonts w:hint="eastAsia"/>
                <w:bCs/>
                <w:color w:val="auto"/>
                <w:szCs w:val="21"/>
              </w:rPr>
            </w:pPr>
            <w:r>
              <w:rPr>
                <w:rFonts w:hint="eastAsia"/>
                <w:bCs/>
                <w:color w:val="auto"/>
                <w:szCs w:val="21"/>
                <w:lang w:val="en-US" w:eastAsia="zh-CN"/>
              </w:rPr>
              <w:t>2、</w:t>
            </w:r>
            <w:r>
              <w:rPr>
                <w:rFonts w:hint="eastAsia"/>
                <w:bCs/>
                <w:color w:val="auto"/>
                <w:szCs w:val="21"/>
              </w:rPr>
              <w:t>生产系统危险性识别</w:t>
            </w:r>
          </w:p>
          <w:p>
            <w:pPr>
              <w:adjustRightInd w:val="0"/>
              <w:snapToGrid w:val="0"/>
              <w:spacing w:line="500" w:lineRule="exact"/>
              <w:ind w:firstLine="420" w:firstLineChars="200"/>
              <w:rPr>
                <w:bCs/>
                <w:color w:val="auto"/>
                <w:szCs w:val="21"/>
              </w:rPr>
            </w:pPr>
            <w:r>
              <w:rPr>
                <w:rFonts w:hint="eastAsia"/>
                <w:bCs/>
                <w:color w:val="auto"/>
                <w:szCs w:val="21"/>
              </w:rPr>
              <w:t>①工艺过程危险性识别</w:t>
            </w:r>
          </w:p>
          <w:p>
            <w:pPr>
              <w:adjustRightInd w:val="0"/>
              <w:snapToGrid w:val="0"/>
              <w:spacing w:line="500" w:lineRule="exact"/>
              <w:ind w:firstLine="420" w:firstLineChars="200"/>
              <w:rPr>
                <w:rFonts w:hint="eastAsia"/>
                <w:bCs/>
                <w:color w:val="auto"/>
                <w:szCs w:val="21"/>
              </w:rPr>
            </w:pPr>
            <w:r>
              <w:rPr>
                <w:rFonts w:hint="eastAsia"/>
                <w:bCs/>
                <w:color w:val="auto"/>
                <w:szCs w:val="21"/>
              </w:rPr>
              <w:t>项目工艺过程风险识别见下表。</w:t>
            </w:r>
          </w:p>
          <w:p>
            <w:pPr>
              <w:adjustRightInd w:val="0"/>
              <w:snapToGrid w:val="0"/>
              <w:spacing w:line="500" w:lineRule="exact"/>
              <w:jc w:val="center"/>
              <w:rPr>
                <w:rFonts w:hint="eastAsia"/>
                <w:b/>
                <w:color w:val="auto"/>
                <w:szCs w:val="21"/>
              </w:rPr>
            </w:pPr>
            <w:r>
              <w:rPr>
                <w:rFonts w:hint="eastAsia"/>
                <w:b/>
                <w:color w:val="auto"/>
                <w:szCs w:val="21"/>
              </w:rPr>
              <w:t>表4-</w:t>
            </w:r>
            <w:r>
              <w:rPr>
                <w:rFonts w:hint="eastAsia"/>
                <w:b/>
                <w:color w:val="auto"/>
                <w:szCs w:val="21"/>
                <w:lang w:val="en-US" w:eastAsia="zh-CN"/>
              </w:rPr>
              <w:t xml:space="preserve">22 </w:t>
            </w:r>
            <w:r>
              <w:rPr>
                <w:rFonts w:hint="eastAsia"/>
                <w:b/>
                <w:color w:val="auto"/>
                <w:szCs w:val="21"/>
              </w:rPr>
              <w:t>生产系统潜在危险性分析一览表</w:t>
            </w:r>
          </w:p>
          <w:tbl>
            <w:tblPr>
              <w:tblStyle w:val="11"/>
              <w:tblW w:w="76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72"/>
              <w:gridCol w:w="1822"/>
              <w:gridCol w:w="1534"/>
              <w:gridCol w:w="22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15" w:type="dxa"/>
                  <w:noWrap w:val="0"/>
                  <w:vAlign w:val="center"/>
                </w:tcPr>
                <w:p>
                  <w:pPr>
                    <w:jc w:val="center"/>
                    <w:rPr>
                      <w:b/>
                      <w:bCs/>
                      <w:color w:val="auto"/>
                      <w:sz w:val="18"/>
                      <w:szCs w:val="18"/>
                    </w:rPr>
                  </w:pPr>
                  <w:r>
                    <w:rPr>
                      <w:rFonts w:hint="eastAsia"/>
                      <w:b/>
                      <w:bCs/>
                      <w:color w:val="auto"/>
                      <w:sz w:val="18"/>
                      <w:szCs w:val="18"/>
                    </w:rPr>
                    <w:t>序号</w:t>
                  </w:r>
                </w:p>
              </w:tc>
              <w:tc>
                <w:tcPr>
                  <w:tcW w:w="1372" w:type="dxa"/>
                  <w:noWrap w:val="0"/>
                  <w:vAlign w:val="center"/>
                </w:tcPr>
                <w:p>
                  <w:pPr>
                    <w:jc w:val="center"/>
                    <w:rPr>
                      <w:b/>
                      <w:bCs/>
                      <w:color w:val="auto"/>
                      <w:sz w:val="18"/>
                      <w:szCs w:val="18"/>
                    </w:rPr>
                  </w:pPr>
                  <w:r>
                    <w:rPr>
                      <w:rFonts w:hint="eastAsia"/>
                      <w:b/>
                      <w:bCs/>
                      <w:color w:val="auto"/>
                      <w:sz w:val="18"/>
                      <w:szCs w:val="18"/>
                    </w:rPr>
                    <w:t>生产工序</w:t>
                  </w:r>
                </w:p>
              </w:tc>
              <w:tc>
                <w:tcPr>
                  <w:tcW w:w="1822" w:type="dxa"/>
                  <w:noWrap w:val="0"/>
                  <w:vAlign w:val="center"/>
                </w:tcPr>
                <w:p>
                  <w:pPr>
                    <w:jc w:val="center"/>
                    <w:rPr>
                      <w:b/>
                      <w:bCs/>
                      <w:color w:val="auto"/>
                      <w:sz w:val="18"/>
                      <w:szCs w:val="18"/>
                    </w:rPr>
                  </w:pPr>
                  <w:r>
                    <w:rPr>
                      <w:rFonts w:hint="eastAsia"/>
                      <w:b/>
                      <w:bCs/>
                      <w:color w:val="auto"/>
                      <w:sz w:val="18"/>
                      <w:szCs w:val="18"/>
                    </w:rPr>
                    <w:t>潜在风险单元、设备</w:t>
                  </w:r>
                </w:p>
              </w:tc>
              <w:tc>
                <w:tcPr>
                  <w:tcW w:w="1534" w:type="dxa"/>
                  <w:noWrap w:val="0"/>
                  <w:vAlign w:val="center"/>
                </w:tcPr>
                <w:p>
                  <w:pPr>
                    <w:jc w:val="center"/>
                    <w:rPr>
                      <w:b/>
                      <w:bCs/>
                      <w:color w:val="auto"/>
                      <w:sz w:val="18"/>
                      <w:szCs w:val="18"/>
                    </w:rPr>
                  </w:pPr>
                  <w:r>
                    <w:rPr>
                      <w:rFonts w:hint="eastAsia"/>
                      <w:b/>
                      <w:bCs/>
                      <w:color w:val="auto"/>
                      <w:sz w:val="18"/>
                      <w:szCs w:val="18"/>
                    </w:rPr>
                    <w:t>风险物质</w:t>
                  </w:r>
                </w:p>
              </w:tc>
              <w:tc>
                <w:tcPr>
                  <w:tcW w:w="2255" w:type="dxa"/>
                  <w:noWrap w:val="0"/>
                  <w:vAlign w:val="center"/>
                </w:tcPr>
                <w:p>
                  <w:pPr>
                    <w:jc w:val="center"/>
                    <w:rPr>
                      <w:b/>
                      <w:bCs/>
                      <w:color w:val="auto"/>
                      <w:sz w:val="18"/>
                      <w:szCs w:val="18"/>
                    </w:rPr>
                  </w:pPr>
                  <w:r>
                    <w:rPr>
                      <w:rFonts w:hint="eastAsia"/>
                      <w:b/>
                      <w:bCs/>
                      <w:color w:val="auto"/>
                      <w:sz w:val="18"/>
                      <w:szCs w:val="18"/>
                    </w:rPr>
                    <w:t>风险类型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noWrap w:val="0"/>
                  <w:vAlign w:val="center"/>
                </w:tcPr>
                <w:p>
                  <w:pPr>
                    <w:adjustRightInd w:val="0"/>
                    <w:snapToGrid w:val="0"/>
                    <w:jc w:val="center"/>
                    <w:rPr>
                      <w:rFonts w:hint="eastAsia"/>
                      <w:color w:val="auto"/>
                      <w:sz w:val="18"/>
                      <w:szCs w:val="18"/>
                    </w:rPr>
                  </w:pPr>
                  <w:r>
                    <w:rPr>
                      <w:rFonts w:hint="eastAsia"/>
                      <w:color w:val="auto"/>
                      <w:sz w:val="18"/>
                      <w:szCs w:val="18"/>
                    </w:rPr>
                    <w:t>1</w:t>
                  </w:r>
                </w:p>
              </w:tc>
              <w:tc>
                <w:tcPr>
                  <w:tcW w:w="1372" w:type="dxa"/>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织片</w:t>
                  </w:r>
                </w:p>
              </w:tc>
              <w:tc>
                <w:tcPr>
                  <w:tcW w:w="1822" w:type="dxa"/>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厂房</w:t>
                  </w:r>
                </w:p>
              </w:tc>
              <w:tc>
                <w:tcPr>
                  <w:tcW w:w="1534" w:type="dxa"/>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羊毛、棉、化纤</w:t>
                  </w:r>
                </w:p>
              </w:tc>
              <w:tc>
                <w:tcPr>
                  <w:tcW w:w="2255" w:type="dxa"/>
                  <w:noWrap w:val="0"/>
                  <w:vAlign w:val="center"/>
                </w:tcPr>
                <w:p>
                  <w:pPr>
                    <w:adjustRightInd w:val="0"/>
                    <w:snapToGrid w:val="0"/>
                    <w:jc w:val="center"/>
                    <w:rPr>
                      <w:rFonts w:hint="eastAsia" w:eastAsia="宋体"/>
                      <w:color w:val="auto"/>
                      <w:sz w:val="18"/>
                      <w:szCs w:val="18"/>
                      <w:lang w:eastAsia="zh-CN"/>
                    </w:rPr>
                  </w:pPr>
                  <w:r>
                    <w:rPr>
                      <w:rFonts w:hint="eastAsia"/>
                      <w:sz w:val="18"/>
                      <w:szCs w:val="18"/>
                    </w:rPr>
                    <w:t>高温风险、火灾</w:t>
                  </w:r>
                  <w:r>
                    <w:rPr>
                      <w:sz w:val="18"/>
                      <w:szCs w:val="18"/>
                    </w:rPr>
                    <w:t>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noWrap w:val="0"/>
                  <w:vAlign w:val="center"/>
                </w:tcPr>
                <w:p>
                  <w:pPr>
                    <w:adjustRightInd w:val="0"/>
                    <w:snapToGrid w:val="0"/>
                    <w:jc w:val="center"/>
                    <w:rPr>
                      <w:rFonts w:hint="eastAsia"/>
                      <w:color w:val="auto"/>
                      <w:sz w:val="18"/>
                      <w:szCs w:val="18"/>
                    </w:rPr>
                  </w:pPr>
                  <w:r>
                    <w:rPr>
                      <w:rFonts w:hint="eastAsia"/>
                      <w:color w:val="auto"/>
                      <w:sz w:val="18"/>
                      <w:szCs w:val="18"/>
                    </w:rPr>
                    <w:t>2</w:t>
                  </w:r>
                </w:p>
              </w:tc>
              <w:tc>
                <w:tcPr>
                  <w:tcW w:w="1372" w:type="dxa"/>
                  <w:noWrap w:val="0"/>
                  <w:vAlign w:val="center"/>
                </w:tcPr>
                <w:p>
                  <w:pPr>
                    <w:adjustRightInd w:val="0"/>
                    <w:snapToGrid w:val="0"/>
                    <w:jc w:val="center"/>
                    <w:rPr>
                      <w:rFonts w:hint="default" w:eastAsia="宋体"/>
                      <w:color w:val="auto"/>
                      <w:sz w:val="18"/>
                      <w:szCs w:val="18"/>
                      <w:lang w:val="en-US" w:eastAsia="zh-CN"/>
                    </w:rPr>
                  </w:pPr>
                  <w:r>
                    <w:rPr>
                      <w:rFonts w:hint="eastAsia" w:eastAsia="宋体"/>
                      <w:color w:val="auto"/>
                      <w:sz w:val="18"/>
                      <w:szCs w:val="18"/>
                      <w:lang w:val="en-US" w:eastAsia="zh-CN"/>
                    </w:rPr>
                    <w:t>储存</w:t>
                  </w:r>
                </w:p>
              </w:tc>
              <w:tc>
                <w:tcPr>
                  <w:tcW w:w="1822" w:type="dxa"/>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助剂</w:t>
                  </w:r>
                  <w:r>
                    <w:rPr>
                      <w:rFonts w:hint="eastAsia" w:eastAsia="宋体"/>
                      <w:color w:val="auto"/>
                      <w:sz w:val="18"/>
                      <w:szCs w:val="18"/>
                      <w:lang w:val="en-US" w:eastAsia="zh-CN"/>
                    </w:rPr>
                    <w:t>仓库</w:t>
                  </w:r>
                </w:p>
              </w:tc>
              <w:tc>
                <w:tcPr>
                  <w:tcW w:w="1534" w:type="dxa"/>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洗涤剂、柔软平滑等</w:t>
                  </w:r>
                </w:p>
              </w:tc>
              <w:tc>
                <w:tcPr>
                  <w:tcW w:w="2255" w:type="dxa"/>
                  <w:noWrap w:val="0"/>
                  <w:vAlign w:val="center"/>
                </w:tcPr>
                <w:p>
                  <w:pPr>
                    <w:adjustRightInd w:val="0"/>
                    <w:snapToGrid w:val="0"/>
                    <w:jc w:val="center"/>
                    <w:rPr>
                      <w:rFonts w:hint="eastAsia"/>
                      <w:color w:val="auto"/>
                      <w:sz w:val="18"/>
                      <w:szCs w:val="18"/>
                    </w:rPr>
                  </w:pPr>
                  <w:r>
                    <w:rPr>
                      <w:sz w:val="18"/>
                      <w:szCs w:val="18"/>
                    </w:rPr>
                    <w:t>泄漏以及火灾、爆炸等引起的伴生/次生污染物排放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15" w:type="dxa"/>
                  <w:noWrap w:val="0"/>
                  <w:vAlign w:val="center"/>
                </w:tcPr>
                <w:p>
                  <w:pPr>
                    <w:adjustRightInd w:val="0"/>
                    <w:snapToGrid w:val="0"/>
                    <w:jc w:val="center"/>
                    <w:rPr>
                      <w:rFonts w:hint="eastAsia" w:eastAsia="宋体"/>
                      <w:color w:val="auto"/>
                      <w:sz w:val="18"/>
                      <w:szCs w:val="18"/>
                      <w:lang w:val="en-US" w:eastAsia="zh-CN"/>
                    </w:rPr>
                  </w:pPr>
                  <w:r>
                    <w:rPr>
                      <w:rFonts w:hint="eastAsia"/>
                      <w:color w:val="auto"/>
                      <w:sz w:val="18"/>
                      <w:szCs w:val="18"/>
                      <w:lang w:val="en-US" w:eastAsia="zh-CN"/>
                    </w:rPr>
                    <w:t>3</w:t>
                  </w:r>
                </w:p>
              </w:tc>
              <w:tc>
                <w:tcPr>
                  <w:tcW w:w="1372" w:type="dxa"/>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储存</w:t>
                  </w:r>
                </w:p>
              </w:tc>
              <w:tc>
                <w:tcPr>
                  <w:tcW w:w="1822" w:type="dxa"/>
                  <w:noWrap w:val="0"/>
                  <w:vAlign w:val="center"/>
                </w:tcPr>
                <w:p>
                  <w:pPr>
                    <w:adjustRightInd w:val="0"/>
                    <w:snapToGrid w:val="0"/>
                    <w:jc w:val="center"/>
                    <w:rPr>
                      <w:rFonts w:hint="default"/>
                      <w:color w:val="auto"/>
                      <w:sz w:val="18"/>
                      <w:szCs w:val="18"/>
                      <w:lang w:val="en-US" w:eastAsia="zh-CN"/>
                    </w:rPr>
                  </w:pPr>
                  <w:r>
                    <w:rPr>
                      <w:rFonts w:hint="eastAsia"/>
                      <w:color w:val="auto"/>
                      <w:sz w:val="18"/>
                      <w:szCs w:val="18"/>
                      <w:lang w:val="en-US" w:eastAsia="zh-CN"/>
                    </w:rPr>
                    <w:t>危废仓库</w:t>
                  </w:r>
                </w:p>
              </w:tc>
              <w:tc>
                <w:tcPr>
                  <w:tcW w:w="1534" w:type="dxa"/>
                  <w:noWrap w:val="0"/>
                  <w:vAlign w:val="center"/>
                </w:tcPr>
                <w:p>
                  <w:pPr>
                    <w:adjustRightInd w:val="0"/>
                    <w:snapToGrid w:val="0"/>
                    <w:jc w:val="center"/>
                    <w:rPr>
                      <w:rFonts w:hint="default"/>
                      <w:color w:val="auto"/>
                      <w:sz w:val="18"/>
                      <w:szCs w:val="18"/>
                      <w:lang w:val="en-US" w:eastAsia="zh-CN"/>
                    </w:rPr>
                  </w:pPr>
                  <w:r>
                    <w:rPr>
                      <w:rFonts w:hint="eastAsia"/>
                      <w:color w:val="auto"/>
                      <w:sz w:val="18"/>
                      <w:szCs w:val="18"/>
                      <w:lang w:val="en-US" w:eastAsia="zh-CN"/>
                    </w:rPr>
                    <w:t>废包装桶、污泥在线监测废液等</w:t>
                  </w:r>
                </w:p>
              </w:tc>
              <w:tc>
                <w:tcPr>
                  <w:tcW w:w="2255" w:type="dxa"/>
                  <w:noWrap w:val="0"/>
                  <w:vAlign w:val="center"/>
                </w:tcPr>
                <w:p>
                  <w:pPr>
                    <w:adjustRightInd w:val="0"/>
                    <w:snapToGrid w:val="0"/>
                    <w:jc w:val="center"/>
                    <w:rPr>
                      <w:sz w:val="18"/>
                      <w:szCs w:val="18"/>
                    </w:rPr>
                  </w:pPr>
                  <w:r>
                    <w:rPr>
                      <w:sz w:val="18"/>
                      <w:szCs w:val="18"/>
                    </w:rPr>
                    <w:t>泄漏以及火灾、爆炸等引起的伴生/次生污染物排放</w:t>
                  </w:r>
                </w:p>
              </w:tc>
            </w:tr>
          </w:tbl>
          <w:p>
            <w:pPr>
              <w:adjustRightInd w:val="0"/>
              <w:snapToGrid w:val="0"/>
              <w:spacing w:line="500" w:lineRule="exact"/>
              <w:ind w:firstLine="420" w:firstLineChars="200"/>
              <w:rPr>
                <w:bCs/>
                <w:color w:val="auto"/>
                <w:szCs w:val="21"/>
              </w:rPr>
            </w:pPr>
            <w:r>
              <w:rPr>
                <w:rFonts w:hint="eastAsia"/>
                <w:bCs/>
                <w:color w:val="auto"/>
                <w:szCs w:val="21"/>
              </w:rPr>
              <w:t>②储存过程危险性识别</w:t>
            </w:r>
          </w:p>
          <w:p>
            <w:pPr>
              <w:adjustRightInd w:val="0"/>
              <w:snapToGrid w:val="0"/>
              <w:spacing w:line="500" w:lineRule="exact"/>
              <w:ind w:firstLine="420" w:firstLineChars="200"/>
              <w:rPr>
                <w:rFonts w:hint="eastAsia"/>
                <w:bCs/>
                <w:color w:val="auto"/>
                <w:szCs w:val="21"/>
              </w:rPr>
            </w:pPr>
            <w:r>
              <w:rPr>
                <w:rFonts w:hint="eastAsia"/>
                <w:bCs/>
                <w:color w:val="auto"/>
                <w:szCs w:val="21"/>
              </w:rPr>
              <w:t>项目原料及成品为易燃物质，存储过程遇着火源可导致火灾事故的发生；原料仓库的原料若泄漏，会造成土壤及地下水污染。</w:t>
            </w:r>
          </w:p>
          <w:p>
            <w:pPr>
              <w:adjustRightInd w:val="0"/>
              <w:snapToGrid w:val="0"/>
              <w:spacing w:line="500" w:lineRule="exact"/>
              <w:ind w:firstLine="420" w:firstLineChars="200"/>
              <w:rPr>
                <w:bCs/>
                <w:color w:val="auto"/>
                <w:szCs w:val="21"/>
              </w:rPr>
            </w:pPr>
            <w:r>
              <w:rPr>
                <w:rFonts w:hint="eastAsia"/>
                <w:bCs/>
                <w:color w:val="auto"/>
                <w:szCs w:val="21"/>
              </w:rPr>
              <w:t>③公用工程危险性识别</w:t>
            </w:r>
          </w:p>
          <w:p>
            <w:pPr>
              <w:adjustRightInd w:val="0"/>
              <w:snapToGrid w:val="0"/>
              <w:spacing w:line="500" w:lineRule="exact"/>
              <w:ind w:firstLine="420" w:firstLineChars="200"/>
              <w:rPr>
                <w:rFonts w:hint="eastAsia"/>
                <w:bCs/>
                <w:color w:val="auto"/>
                <w:szCs w:val="21"/>
              </w:rPr>
            </w:pPr>
            <w:r>
              <w:rPr>
                <w:rFonts w:hint="eastAsia"/>
                <w:bCs/>
                <w:color w:val="auto"/>
                <w:szCs w:val="21"/>
              </w:rPr>
              <w:t>A、若配电、消防等公用辅助设施的能力不足，不仅会影响正常生产，还会导致火灾、爆炸及中毒事故的发生。</w:t>
            </w:r>
          </w:p>
          <w:p>
            <w:pPr>
              <w:adjustRightInd w:val="0"/>
              <w:snapToGrid w:val="0"/>
              <w:spacing w:line="500" w:lineRule="exact"/>
              <w:ind w:firstLine="420" w:firstLineChars="200"/>
              <w:rPr>
                <w:rFonts w:hint="eastAsia"/>
                <w:bCs/>
                <w:color w:val="auto"/>
                <w:szCs w:val="21"/>
              </w:rPr>
            </w:pPr>
            <w:r>
              <w:rPr>
                <w:rFonts w:hint="eastAsia"/>
                <w:bCs/>
                <w:color w:val="auto"/>
                <w:szCs w:val="21"/>
              </w:rPr>
              <w:t>B、若该企业的消防设施失效，一旦发生火灾，不能对初期火灾实施有效的控制，从而会导致事故的进一步扩大，甚至会达到不可控的地步，导致人、财、物的损失。</w:t>
            </w:r>
          </w:p>
          <w:p>
            <w:pPr>
              <w:adjustRightInd w:val="0"/>
              <w:snapToGrid w:val="0"/>
              <w:spacing w:line="500" w:lineRule="exact"/>
              <w:ind w:firstLine="420" w:firstLineChars="200"/>
              <w:rPr>
                <w:bCs/>
                <w:color w:val="auto"/>
                <w:szCs w:val="21"/>
              </w:rPr>
            </w:pPr>
            <w:r>
              <w:rPr>
                <w:rFonts w:hint="eastAsia"/>
                <w:bCs/>
                <w:color w:val="auto"/>
                <w:szCs w:val="21"/>
              </w:rPr>
              <w:t>④环保工程危险性识别</w:t>
            </w:r>
          </w:p>
          <w:p>
            <w:pPr>
              <w:adjustRightInd w:val="0"/>
              <w:snapToGrid w:val="0"/>
              <w:spacing w:line="500" w:lineRule="exact"/>
              <w:ind w:firstLine="420" w:firstLineChars="200"/>
              <w:rPr>
                <w:rFonts w:hint="eastAsia"/>
                <w:bCs/>
                <w:color w:val="auto"/>
                <w:szCs w:val="21"/>
              </w:rPr>
            </w:pPr>
            <w:r>
              <w:rPr>
                <w:rFonts w:hint="eastAsia"/>
                <w:bCs/>
                <w:color w:val="auto"/>
                <w:szCs w:val="21"/>
              </w:rPr>
              <w:t>A、废</w:t>
            </w:r>
            <w:r>
              <w:rPr>
                <w:rFonts w:hint="eastAsia"/>
                <w:bCs/>
                <w:color w:val="auto"/>
                <w:szCs w:val="21"/>
                <w:lang w:eastAsia="zh-CN"/>
              </w:rPr>
              <w:t>水</w:t>
            </w:r>
            <w:r>
              <w:rPr>
                <w:rFonts w:hint="eastAsia"/>
                <w:bCs/>
                <w:color w:val="auto"/>
                <w:szCs w:val="21"/>
              </w:rPr>
              <w:t>处理装置</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bCs/>
                <w:color w:val="auto"/>
                <w:szCs w:val="21"/>
              </w:rPr>
            </w:pPr>
            <w:r>
              <w:rPr>
                <w:rFonts w:hint="eastAsia"/>
                <w:bCs/>
                <w:color w:val="auto"/>
                <w:szCs w:val="21"/>
              </w:rPr>
              <w:t>项目废水处理装置存在处理失效的风险。废水污染物无法得到有效的去除，将会对周围环境造成较大的影响。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eastAsia="宋体"/>
                <w:szCs w:val="21"/>
                <w:lang w:eastAsia="zh-CN"/>
              </w:rPr>
            </w:pPr>
            <w:r>
              <w:rPr>
                <w:rFonts w:hint="eastAsia"/>
                <w:szCs w:val="21"/>
                <w:lang w:val="en-US" w:eastAsia="zh-CN"/>
              </w:rPr>
              <w:t>B、</w:t>
            </w:r>
            <w:r>
              <w:rPr>
                <w:rFonts w:hint="eastAsia"/>
                <w:szCs w:val="21"/>
              </w:rPr>
              <w:t>次生、伴生影响：</w:t>
            </w:r>
            <w:r>
              <w:rPr>
                <w:szCs w:val="21"/>
              </w:rPr>
              <w:t>按照《建设项目环境风险评价技术导则》（HJ169-2018），本项目主要风险物质</w:t>
            </w:r>
            <w:r>
              <w:rPr>
                <w:rFonts w:hint="eastAsia"/>
                <w:szCs w:val="21"/>
              </w:rPr>
              <w:t>为</w:t>
            </w:r>
            <w:r>
              <w:rPr>
                <w:rFonts w:hint="eastAsia"/>
                <w:szCs w:val="21"/>
                <w:lang w:val="en-US" w:eastAsia="zh-CN"/>
              </w:rPr>
              <w:t>洗涤剂、柔软平滑剂，</w:t>
            </w:r>
            <w:r>
              <w:rPr>
                <w:szCs w:val="21"/>
              </w:rPr>
              <w:t>涉及气态风险物质发生泄漏时，产生的有机废气进入大气环境，导致周围大气环境中相应污染物浓度增高，造成环境空气质量污染；遇明火、火花则可能发生火灾爆炸事故，同时燃烧产生烟尘、CO、SO</w:t>
            </w:r>
            <w:r>
              <w:rPr>
                <w:szCs w:val="21"/>
                <w:vertAlign w:val="subscript"/>
              </w:rPr>
              <w:t>2</w:t>
            </w:r>
            <w:r>
              <w:rPr>
                <w:szCs w:val="21"/>
              </w:rPr>
              <w:t>、NO</w:t>
            </w:r>
            <w:r>
              <w:rPr>
                <w:rFonts w:hint="eastAsia"/>
                <w:szCs w:val="21"/>
                <w:vertAlign w:val="subscript"/>
              </w:rPr>
              <w:t>x</w:t>
            </w:r>
            <w:r>
              <w:rPr>
                <w:szCs w:val="21"/>
              </w:rPr>
              <w:t>等废气进入大气环境，导致周围大气环境中相应污染物浓度增高，造成环境空气质量污染。对大气环境产生不利影响。另厂区发生泄漏以及火灾、爆炸事故也可能会导致有毒有害物质渗透入土壤中，造成土壤、地下水污染</w:t>
            </w:r>
            <w:r>
              <w:rPr>
                <w:rFonts w:hint="eastAsia"/>
                <w:szCs w:val="21"/>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bCs/>
                <w:color w:val="auto"/>
                <w:szCs w:val="21"/>
              </w:rPr>
            </w:pPr>
            <w:r>
              <w:rPr>
                <w:rFonts w:hint="eastAsia"/>
                <w:bCs/>
                <w:color w:val="auto"/>
                <w:szCs w:val="21"/>
                <w:lang w:val="en-US" w:eastAsia="zh-CN"/>
              </w:rPr>
              <w:t>3、</w:t>
            </w:r>
            <w:r>
              <w:rPr>
                <w:rFonts w:hint="eastAsia"/>
                <w:bCs/>
                <w:color w:val="auto"/>
                <w:szCs w:val="21"/>
              </w:rPr>
              <w:t>危险物质向环境转移的途径识别</w:t>
            </w:r>
          </w:p>
          <w:p>
            <w:pPr>
              <w:adjustRightInd w:val="0"/>
              <w:snapToGrid w:val="0"/>
              <w:spacing w:line="500" w:lineRule="exact"/>
              <w:ind w:firstLine="420" w:firstLineChars="200"/>
              <w:rPr>
                <w:rFonts w:hint="eastAsia"/>
                <w:bCs/>
                <w:color w:val="auto"/>
                <w:szCs w:val="21"/>
              </w:rPr>
            </w:pPr>
            <w:r>
              <w:rPr>
                <w:rFonts w:hint="eastAsia"/>
                <w:bCs/>
                <w:color w:val="auto"/>
                <w:szCs w:val="21"/>
              </w:rPr>
              <w:t>根据可能发生突发环境事件的情况下，污染物的转移途径如表4-</w:t>
            </w:r>
            <w:r>
              <w:rPr>
                <w:rFonts w:hint="eastAsia"/>
                <w:bCs/>
                <w:color w:val="auto"/>
                <w:szCs w:val="21"/>
                <w:lang w:val="en-US" w:eastAsia="zh-CN"/>
              </w:rPr>
              <w:t>23</w:t>
            </w:r>
            <w:r>
              <w:rPr>
                <w:rFonts w:hint="eastAsia"/>
                <w:bCs/>
                <w:color w:val="auto"/>
                <w:szCs w:val="21"/>
              </w:rPr>
              <w:t>。</w:t>
            </w:r>
          </w:p>
          <w:p>
            <w:pPr>
              <w:autoSpaceDE w:val="0"/>
              <w:autoSpaceDN w:val="0"/>
              <w:adjustRightInd w:val="0"/>
              <w:spacing w:line="500" w:lineRule="exact"/>
              <w:jc w:val="center"/>
              <w:rPr>
                <w:b/>
                <w:bCs/>
                <w:color w:val="auto"/>
                <w:szCs w:val="21"/>
              </w:rPr>
            </w:pPr>
            <w:r>
              <w:rPr>
                <w:b/>
                <w:bCs/>
                <w:color w:val="auto"/>
                <w:szCs w:val="21"/>
              </w:rPr>
              <w:t>表</w:t>
            </w:r>
            <w:r>
              <w:rPr>
                <w:rFonts w:hint="eastAsia"/>
                <w:b/>
                <w:bCs/>
                <w:color w:val="auto"/>
                <w:szCs w:val="21"/>
              </w:rPr>
              <w:t>4-</w:t>
            </w:r>
            <w:r>
              <w:rPr>
                <w:rFonts w:hint="eastAsia"/>
                <w:b/>
                <w:bCs/>
                <w:color w:val="auto"/>
                <w:szCs w:val="21"/>
                <w:lang w:val="en-US" w:eastAsia="zh-CN"/>
              </w:rPr>
              <w:t xml:space="preserve">23 </w:t>
            </w:r>
            <w:r>
              <w:rPr>
                <w:rFonts w:hint="eastAsia"/>
                <w:b/>
                <w:bCs/>
                <w:color w:val="auto"/>
                <w:szCs w:val="21"/>
              </w:rPr>
              <w:t>事故污染物转移途径及影响方式</w:t>
            </w:r>
          </w:p>
          <w:tbl>
            <w:tblPr>
              <w:tblStyle w:val="11"/>
              <w:tblW w:w="75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307"/>
              <w:gridCol w:w="1791"/>
              <w:gridCol w:w="1954"/>
              <w:gridCol w:w="9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63" w:type="dxa"/>
                  <w:noWrap w:val="0"/>
                  <w:vAlign w:val="center"/>
                </w:tcPr>
                <w:p>
                  <w:pPr>
                    <w:jc w:val="center"/>
                    <w:rPr>
                      <w:rFonts w:hint="eastAsia"/>
                      <w:sz w:val="18"/>
                      <w:szCs w:val="18"/>
                    </w:rPr>
                  </w:pPr>
                  <w:r>
                    <w:rPr>
                      <w:rFonts w:hint="eastAsia"/>
                      <w:sz w:val="18"/>
                      <w:szCs w:val="18"/>
                    </w:rPr>
                    <w:t>危险单元</w:t>
                  </w:r>
                </w:p>
              </w:tc>
              <w:tc>
                <w:tcPr>
                  <w:tcW w:w="1307" w:type="dxa"/>
                  <w:noWrap w:val="0"/>
                  <w:vAlign w:val="center"/>
                </w:tcPr>
                <w:p>
                  <w:pPr>
                    <w:jc w:val="center"/>
                    <w:rPr>
                      <w:rFonts w:hint="eastAsia"/>
                      <w:sz w:val="18"/>
                      <w:szCs w:val="18"/>
                    </w:rPr>
                  </w:pPr>
                  <w:r>
                    <w:rPr>
                      <w:rFonts w:hint="eastAsia"/>
                      <w:sz w:val="18"/>
                      <w:szCs w:val="18"/>
                    </w:rPr>
                    <w:t>危险源</w:t>
                  </w:r>
                </w:p>
              </w:tc>
              <w:tc>
                <w:tcPr>
                  <w:tcW w:w="1791" w:type="dxa"/>
                  <w:noWrap w:val="0"/>
                  <w:vAlign w:val="center"/>
                </w:tcPr>
                <w:p>
                  <w:pPr>
                    <w:jc w:val="center"/>
                    <w:rPr>
                      <w:rFonts w:hint="eastAsia"/>
                      <w:sz w:val="18"/>
                      <w:szCs w:val="18"/>
                    </w:rPr>
                  </w:pPr>
                  <w:r>
                    <w:rPr>
                      <w:rFonts w:hint="eastAsia"/>
                      <w:sz w:val="18"/>
                      <w:szCs w:val="18"/>
                    </w:rPr>
                    <w:t>环境风险类型</w:t>
                  </w:r>
                </w:p>
              </w:tc>
              <w:tc>
                <w:tcPr>
                  <w:tcW w:w="1954" w:type="dxa"/>
                  <w:noWrap w:val="0"/>
                  <w:vAlign w:val="center"/>
                </w:tcPr>
                <w:p>
                  <w:pPr>
                    <w:jc w:val="center"/>
                    <w:rPr>
                      <w:rFonts w:hint="eastAsia"/>
                      <w:sz w:val="18"/>
                      <w:szCs w:val="18"/>
                    </w:rPr>
                  </w:pPr>
                  <w:r>
                    <w:rPr>
                      <w:rFonts w:hint="eastAsia"/>
                      <w:sz w:val="18"/>
                      <w:szCs w:val="18"/>
                    </w:rPr>
                    <w:t>主要危险物质</w:t>
                  </w:r>
                </w:p>
              </w:tc>
              <w:tc>
                <w:tcPr>
                  <w:tcW w:w="981" w:type="dxa"/>
                  <w:noWrap w:val="0"/>
                  <w:vAlign w:val="center"/>
                </w:tcPr>
                <w:p>
                  <w:pPr>
                    <w:jc w:val="center"/>
                    <w:rPr>
                      <w:rFonts w:hint="eastAsia"/>
                      <w:sz w:val="18"/>
                      <w:szCs w:val="18"/>
                    </w:rPr>
                  </w:pPr>
                  <w:r>
                    <w:rPr>
                      <w:rFonts w:hint="eastAsia"/>
                      <w:sz w:val="18"/>
                      <w:szCs w:val="18"/>
                    </w:rPr>
                    <w:t>环境影响途径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63" w:type="dxa"/>
                  <w:noWrap w:val="0"/>
                  <w:vAlign w:val="center"/>
                </w:tcPr>
                <w:p>
                  <w:pPr>
                    <w:jc w:val="center"/>
                    <w:rPr>
                      <w:rFonts w:hint="eastAsia"/>
                      <w:sz w:val="18"/>
                      <w:szCs w:val="18"/>
                    </w:rPr>
                  </w:pPr>
                  <w:r>
                    <w:rPr>
                      <w:rFonts w:hint="eastAsia"/>
                      <w:sz w:val="18"/>
                      <w:szCs w:val="18"/>
                    </w:rPr>
                    <w:t>危废</w:t>
                  </w:r>
                  <w:r>
                    <w:rPr>
                      <w:rFonts w:hint="eastAsia"/>
                      <w:sz w:val="18"/>
                      <w:szCs w:val="18"/>
                      <w:lang w:eastAsia="zh-CN"/>
                    </w:rPr>
                    <w:t>仓</w:t>
                  </w:r>
                  <w:r>
                    <w:rPr>
                      <w:rFonts w:hint="eastAsia"/>
                      <w:sz w:val="18"/>
                      <w:szCs w:val="18"/>
                    </w:rPr>
                    <w:t>库</w:t>
                  </w:r>
                </w:p>
              </w:tc>
              <w:tc>
                <w:tcPr>
                  <w:tcW w:w="1307" w:type="dxa"/>
                  <w:noWrap w:val="0"/>
                  <w:vAlign w:val="center"/>
                </w:tcPr>
                <w:p>
                  <w:pPr>
                    <w:jc w:val="center"/>
                    <w:rPr>
                      <w:rFonts w:hint="eastAsia"/>
                      <w:sz w:val="18"/>
                      <w:szCs w:val="18"/>
                    </w:rPr>
                  </w:pPr>
                  <w:r>
                    <w:rPr>
                      <w:rFonts w:hint="eastAsia"/>
                      <w:sz w:val="18"/>
                      <w:szCs w:val="18"/>
                    </w:rPr>
                    <w:t>危废存储</w:t>
                  </w:r>
                </w:p>
              </w:tc>
              <w:tc>
                <w:tcPr>
                  <w:tcW w:w="1791" w:type="dxa"/>
                  <w:vMerge w:val="restart"/>
                  <w:noWrap w:val="0"/>
                  <w:vAlign w:val="center"/>
                </w:tcPr>
                <w:p>
                  <w:pPr>
                    <w:jc w:val="center"/>
                    <w:rPr>
                      <w:sz w:val="18"/>
                      <w:szCs w:val="18"/>
                    </w:rPr>
                  </w:pPr>
                  <w:r>
                    <w:rPr>
                      <w:rFonts w:hint="eastAsia"/>
                      <w:sz w:val="18"/>
                      <w:szCs w:val="18"/>
                    </w:rPr>
                    <w:t>泄漏以及火灾、爆炸等引发的伴生/次生污染物</w:t>
                  </w:r>
                </w:p>
              </w:tc>
              <w:tc>
                <w:tcPr>
                  <w:tcW w:w="1954" w:type="dxa"/>
                  <w:noWrap w:val="0"/>
                  <w:vAlign w:val="center"/>
                </w:tcPr>
                <w:p>
                  <w:pPr>
                    <w:jc w:val="center"/>
                    <w:rPr>
                      <w:rFonts w:hint="eastAsia"/>
                      <w:sz w:val="18"/>
                      <w:szCs w:val="18"/>
                    </w:rPr>
                  </w:pPr>
                  <w:r>
                    <w:rPr>
                      <w:rFonts w:hint="eastAsia"/>
                      <w:sz w:val="18"/>
                      <w:szCs w:val="18"/>
                      <w:lang w:eastAsia="zh-CN"/>
                    </w:rPr>
                    <w:t>废包装桶、污泥、</w:t>
                  </w:r>
                  <w:r>
                    <w:rPr>
                      <w:rFonts w:hint="eastAsia"/>
                      <w:sz w:val="18"/>
                      <w:szCs w:val="18"/>
                    </w:rPr>
                    <w:t>废水在线监控设备废液</w:t>
                  </w:r>
                </w:p>
              </w:tc>
              <w:tc>
                <w:tcPr>
                  <w:tcW w:w="981" w:type="dxa"/>
                  <w:vMerge w:val="restart"/>
                  <w:noWrap w:val="0"/>
                  <w:vAlign w:val="center"/>
                </w:tcPr>
                <w:p>
                  <w:pPr>
                    <w:jc w:val="center"/>
                    <w:rPr>
                      <w:rFonts w:hint="eastAsia"/>
                      <w:sz w:val="18"/>
                      <w:szCs w:val="18"/>
                    </w:rPr>
                  </w:pPr>
                  <w:r>
                    <w:rPr>
                      <w:rFonts w:hint="eastAsia"/>
                      <w:sz w:val="18"/>
                      <w:szCs w:val="18"/>
                    </w:rPr>
                    <w:t>大气、土壤、地下水、地表水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63" w:type="dxa"/>
                  <w:noWrap w:val="0"/>
                  <w:vAlign w:val="center"/>
                </w:tcPr>
                <w:p>
                  <w:pPr>
                    <w:jc w:val="center"/>
                    <w:rPr>
                      <w:rFonts w:hint="eastAsia" w:eastAsia="宋体"/>
                      <w:sz w:val="18"/>
                      <w:szCs w:val="18"/>
                      <w:lang w:eastAsia="zh-CN"/>
                    </w:rPr>
                  </w:pPr>
                  <w:r>
                    <w:rPr>
                      <w:rFonts w:hint="eastAsia"/>
                      <w:sz w:val="18"/>
                      <w:szCs w:val="18"/>
                      <w:lang w:eastAsia="zh-CN"/>
                    </w:rPr>
                    <w:t>助剂仓库</w:t>
                  </w:r>
                </w:p>
              </w:tc>
              <w:tc>
                <w:tcPr>
                  <w:tcW w:w="1307" w:type="dxa"/>
                  <w:noWrap w:val="0"/>
                  <w:vAlign w:val="center"/>
                </w:tcPr>
                <w:p>
                  <w:pPr>
                    <w:jc w:val="center"/>
                    <w:rPr>
                      <w:rFonts w:hint="eastAsia"/>
                      <w:sz w:val="18"/>
                      <w:szCs w:val="18"/>
                    </w:rPr>
                  </w:pPr>
                  <w:r>
                    <w:rPr>
                      <w:rFonts w:hint="eastAsia"/>
                      <w:sz w:val="18"/>
                      <w:szCs w:val="18"/>
                    </w:rPr>
                    <w:t>原料存储</w:t>
                  </w:r>
                </w:p>
              </w:tc>
              <w:tc>
                <w:tcPr>
                  <w:tcW w:w="1791" w:type="dxa"/>
                  <w:vMerge w:val="continue"/>
                  <w:noWrap w:val="0"/>
                  <w:vAlign w:val="center"/>
                </w:tcPr>
                <w:p>
                  <w:pPr>
                    <w:jc w:val="center"/>
                    <w:rPr>
                      <w:rFonts w:hint="eastAsia"/>
                      <w:sz w:val="18"/>
                      <w:szCs w:val="18"/>
                    </w:rPr>
                  </w:pPr>
                </w:p>
              </w:tc>
              <w:tc>
                <w:tcPr>
                  <w:tcW w:w="1954" w:type="dxa"/>
                  <w:noWrap w:val="0"/>
                  <w:vAlign w:val="center"/>
                </w:tcPr>
                <w:p>
                  <w:pPr>
                    <w:jc w:val="center"/>
                    <w:rPr>
                      <w:rFonts w:hint="eastAsia" w:eastAsia="宋体"/>
                      <w:sz w:val="18"/>
                      <w:szCs w:val="18"/>
                      <w:lang w:eastAsia="zh-CN"/>
                    </w:rPr>
                  </w:pPr>
                  <w:r>
                    <w:rPr>
                      <w:rFonts w:hint="eastAsia"/>
                      <w:sz w:val="18"/>
                      <w:szCs w:val="18"/>
                      <w:lang w:eastAsia="zh-CN"/>
                    </w:rPr>
                    <w:t>洗涤剂、柔软平滑剂</w:t>
                  </w:r>
                </w:p>
              </w:tc>
              <w:tc>
                <w:tcPr>
                  <w:tcW w:w="981" w:type="dxa"/>
                  <w:vMerge w:val="continue"/>
                  <w:noWrap w:val="0"/>
                  <w:vAlign w:val="center"/>
                </w:tcPr>
                <w:p>
                  <w:pPr>
                    <w:jc w:val="center"/>
                    <w:rPr>
                      <w:rFonts w:hint="eastAsia"/>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63" w:type="dxa"/>
                  <w:noWrap w:val="0"/>
                  <w:vAlign w:val="center"/>
                </w:tcPr>
                <w:p>
                  <w:pPr>
                    <w:jc w:val="center"/>
                    <w:rPr>
                      <w:rFonts w:hint="eastAsia"/>
                      <w:sz w:val="18"/>
                      <w:szCs w:val="18"/>
                    </w:rPr>
                  </w:pPr>
                  <w:r>
                    <w:rPr>
                      <w:rFonts w:hint="eastAsia"/>
                      <w:sz w:val="18"/>
                      <w:szCs w:val="18"/>
                    </w:rPr>
                    <w:t>污水处理站</w:t>
                  </w:r>
                </w:p>
              </w:tc>
              <w:tc>
                <w:tcPr>
                  <w:tcW w:w="1307" w:type="dxa"/>
                  <w:noWrap w:val="0"/>
                  <w:vAlign w:val="center"/>
                </w:tcPr>
                <w:p>
                  <w:pPr>
                    <w:jc w:val="center"/>
                    <w:rPr>
                      <w:rFonts w:hint="eastAsia"/>
                      <w:sz w:val="18"/>
                      <w:szCs w:val="18"/>
                    </w:rPr>
                  </w:pPr>
                  <w:r>
                    <w:rPr>
                      <w:rFonts w:hint="eastAsia"/>
                      <w:sz w:val="18"/>
                      <w:szCs w:val="18"/>
                    </w:rPr>
                    <w:t>废水处理</w:t>
                  </w:r>
                </w:p>
              </w:tc>
              <w:tc>
                <w:tcPr>
                  <w:tcW w:w="1791" w:type="dxa"/>
                  <w:noWrap w:val="0"/>
                  <w:vAlign w:val="center"/>
                </w:tcPr>
                <w:p>
                  <w:pPr>
                    <w:jc w:val="center"/>
                    <w:rPr>
                      <w:rFonts w:hint="eastAsia"/>
                      <w:sz w:val="18"/>
                      <w:szCs w:val="18"/>
                    </w:rPr>
                  </w:pPr>
                  <w:r>
                    <w:rPr>
                      <w:rFonts w:hint="eastAsia"/>
                      <w:sz w:val="18"/>
                      <w:szCs w:val="18"/>
                    </w:rPr>
                    <w:t>废水事故排放</w:t>
                  </w:r>
                </w:p>
              </w:tc>
              <w:tc>
                <w:tcPr>
                  <w:tcW w:w="1954" w:type="dxa"/>
                  <w:noWrap w:val="0"/>
                  <w:vAlign w:val="center"/>
                </w:tcPr>
                <w:p>
                  <w:pPr>
                    <w:jc w:val="center"/>
                    <w:rPr>
                      <w:sz w:val="18"/>
                      <w:szCs w:val="18"/>
                    </w:rPr>
                  </w:pPr>
                  <w:r>
                    <w:rPr>
                      <w:sz w:val="18"/>
                      <w:szCs w:val="18"/>
                    </w:rPr>
                    <w:t>COD、</w:t>
                  </w:r>
                  <w:r>
                    <w:rPr>
                      <w:rFonts w:hint="eastAsia"/>
                      <w:sz w:val="18"/>
                      <w:szCs w:val="18"/>
                    </w:rPr>
                    <w:t>BOD</w:t>
                  </w:r>
                  <w:r>
                    <w:rPr>
                      <w:rFonts w:hint="eastAsia"/>
                      <w:sz w:val="18"/>
                      <w:szCs w:val="18"/>
                      <w:vertAlign w:val="subscript"/>
                    </w:rPr>
                    <w:t>5</w:t>
                  </w:r>
                  <w:r>
                    <w:rPr>
                      <w:rFonts w:hint="eastAsia"/>
                      <w:sz w:val="18"/>
                      <w:szCs w:val="18"/>
                    </w:rPr>
                    <w:t>、</w:t>
                  </w:r>
                  <w:r>
                    <w:rPr>
                      <w:sz w:val="18"/>
                      <w:szCs w:val="18"/>
                    </w:rPr>
                    <w:t>SS、TN、NH</w:t>
                  </w:r>
                  <w:r>
                    <w:rPr>
                      <w:sz w:val="18"/>
                      <w:szCs w:val="18"/>
                      <w:vertAlign w:val="subscript"/>
                    </w:rPr>
                    <w:t>3</w:t>
                  </w:r>
                  <w:r>
                    <w:rPr>
                      <w:sz w:val="18"/>
                      <w:szCs w:val="18"/>
                    </w:rPr>
                    <w:t>-N</w:t>
                  </w:r>
                  <w:r>
                    <w:rPr>
                      <w:rFonts w:hint="eastAsia"/>
                      <w:sz w:val="18"/>
                      <w:szCs w:val="18"/>
                    </w:rPr>
                    <w:t>、LAS色度</w:t>
                  </w:r>
                </w:p>
              </w:tc>
              <w:tc>
                <w:tcPr>
                  <w:tcW w:w="981" w:type="dxa"/>
                  <w:vMerge w:val="continue"/>
                  <w:noWrap w:val="0"/>
                  <w:vAlign w:val="center"/>
                </w:tcPr>
                <w:p>
                  <w:pPr>
                    <w:jc w:val="center"/>
                    <w:rPr>
                      <w:rFonts w:hint="eastAsia"/>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szCs w:val="21"/>
              </w:rPr>
            </w:pPr>
            <w:r>
              <w:rPr>
                <w:rFonts w:hint="eastAsia"/>
                <w:szCs w:val="21"/>
                <w:lang w:val="en-US" w:eastAsia="zh-CN"/>
              </w:rPr>
              <w:t>1、</w:t>
            </w:r>
            <w:r>
              <w:rPr>
                <w:rFonts w:hint="eastAsia"/>
                <w:szCs w:val="21"/>
              </w:rPr>
              <w:t>环境风险防范应急措施</w:t>
            </w:r>
          </w:p>
          <w:p>
            <w:pPr>
              <w:adjustRightInd w:val="0"/>
              <w:snapToGrid w:val="0"/>
              <w:spacing w:line="500" w:lineRule="exact"/>
              <w:ind w:firstLine="420" w:firstLineChars="200"/>
              <w:rPr>
                <w:bCs/>
                <w:color w:val="auto"/>
                <w:szCs w:val="21"/>
              </w:rPr>
            </w:pPr>
            <w:r>
              <w:rPr>
                <w:rFonts w:hint="eastAsia"/>
                <w:bCs/>
                <w:color w:val="auto"/>
                <w:szCs w:val="21"/>
                <w:lang w:eastAsia="zh-CN"/>
              </w:rPr>
              <w:t>（</w:t>
            </w:r>
            <w:r>
              <w:rPr>
                <w:rFonts w:hint="eastAsia"/>
                <w:bCs/>
                <w:color w:val="auto"/>
                <w:szCs w:val="21"/>
                <w:lang w:val="en-US" w:eastAsia="zh-CN"/>
              </w:rPr>
              <w:t>1）</w:t>
            </w:r>
            <w:r>
              <w:rPr>
                <w:rFonts w:hint="eastAsia"/>
                <w:bCs/>
                <w:color w:val="auto"/>
                <w:szCs w:val="21"/>
              </w:rPr>
              <w:t>生产过程风险防范措施</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建立健全各种有关消防与安全生产的规章制度，建立岗位责任制。生产车间严禁明火。生产车间、公用工程等场所配置足量的泡沫、干粉等灭火器，并保持完好状态。</w:t>
            </w:r>
          </w:p>
          <w:p>
            <w:pPr>
              <w:adjustRightInd w:val="0"/>
              <w:snapToGrid w:val="0"/>
              <w:spacing w:line="500" w:lineRule="exact"/>
              <w:ind w:firstLine="420" w:firstLineChars="200"/>
              <w:rPr>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2）</w:t>
            </w:r>
            <w:r>
              <w:rPr>
                <w:rFonts w:hint="eastAsia"/>
                <w:bCs/>
                <w:color w:val="auto"/>
                <w:szCs w:val="21"/>
              </w:rPr>
              <w:t>储运过程风险防范措施</w:t>
            </w:r>
          </w:p>
          <w:p>
            <w:pPr>
              <w:adjustRightInd w:val="0"/>
              <w:snapToGrid w:val="0"/>
              <w:spacing w:line="500" w:lineRule="exact"/>
              <w:ind w:firstLine="420" w:firstLineChars="200"/>
              <w:rPr>
                <w:bCs/>
                <w:color w:val="auto"/>
                <w:szCs w:val="21"/>
              </w:rPr>
            </w:pPr>
            <w:r>
              <w:rPr>
                <w:rFonts w:hint="eastAsia" w:ascii="宋体" w:hAnsi="宋体" w:eastAsia="宋体" w:cs="宋体"/>
                <w:bCs/>
                <w:color w:val="auto"/>
                <w:szCs w:val="21"/>
              </w:rPr>
              <w:t>①</w:t>
            </w:r>
            <w:r>
              <w:rPr>
                <w:rFonts w:hint="eastAsia"/>
                <w:bCs/>
                <w:color w:val="auto"/>
                <w:szCs w:val="21"/>
              </w:rPr>
              <w:t>按照原辅料性质分类、分区存放，严禁将性质相互抵触、灭火方法不同、容易引起自燃的物品存放于一处；</w:t>
            </w:r>
          </w:p>
          <w:p>
            <w:pPr>
              <w:adjustRightInd w:val="0"/>
              <w:snapToGrid w:val="0"/>
              <w:spacing w:line="500" w:lineRule="exact"/>
              <w:ind w:firstLine="420" w:firstLineChars="200"/>
              <w:rPr>
                <w:bCs/>
                <w:color w:val="auto"/>
                <w:szCs w:val="21"/>
              </w:rPr>
            </w:pPr>
            <w:r>
              <w:rPr>
                <w:rFonts w:hint="eastAsia" w:ascii="宋体" w:hAnsi="宋体" w:eastAsia="宋体" w:cs="宋体"/>
                <w:bCs/>
                <w:color w:val="auto"/>
                <w:szCs w:val="21"/>
              </w:rPr>
              <w:t>②</w:t>
            </w:r>
            <w:r>
              <w:rPr>
                <w:rFonts w:hint="eastAsia"/>
                <w:bCs/>
                <w:color w:val="auto"/>
                <w:szCs w:val="21"/>
              </w:rPr>
              <w:t>储存物品时，堆垛不可过高、过大、过密，不得超量储存；</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③</w:t>
            </w:r>
            <w:r>
              <w:rPr>
                <w:rFonts w:hint="eastAsia"/>
                <w:bCs/>
                <w:color w:val="auto"/>
                <w:szCs w:val="21"/>
              </w:rPr>
              <w:t>采用不导热的耐火材料作为屋顶和墙壁的隔热层；</w:t>
            </w:r>
          </w:p>
          <w:p>
            <w:pPr>
              <w:adjustRightInd w:val="0"/>
              <w:snapToGrid w:val="0"/>
              <w:spacing w:line="500" w:lineRule="exact"/>
              <w:ind w:firstLine="420" w:firstLineChars="200"/>
              <w:rPr>
                <w:bCs/>
                <w:color w:val="auto"/>
                <w:szCs w:val="21"/>
              </w:rPr>
            </w:pPr>
            <w:r>
              <w:rPr>
                <w:rFonts w:hint="eastAsia"/>
                <w:bCs/>
                <w:color w:val="auto"/>
                <w:szCs w:val="21"/>
              </w:rPr>
              <w:t>④库管人员需定期巡查，发现问题及时解决。</w:t>
            </w:r>
          </w:p>
          <w:p>
            <w:pPr>
              <w:adjustRightInd w:val="0"/>
              <w:snapToGrid w:val="0"/>
              <w:spacing w:line="500" w:lineRule="exact"/>
              <w:ind w:firstLine="420" w:firstLineChars="200"/>
              <w:rPr>
                <w:rFonts w:hint="eastAsia"/>
                <w:bCs/>
                <w:color w:val="auto"/>
                <w:szCs w:val="21"/>
              </w:rPr>
            </w:pPr>
            <w:r>
              <w:rPr>
                <w:rFonts w:hint="eastAsia"/>
                <w:bCs/>
                <w:color w:val="auto"/>
                <w:szCs w:val="21"/>
                <w:lang w:eastAsia="zh-CN"/>
              </w:rPr>
              <w:t>（</w:t>
            </w:r>
            <w:r>
              <w:rPr>
                <w:rFonts w:hint="eastAsia"/>
                <w:bCs/>
                <w:color w:val="auto"/>
                <w:szCs w:val="21"/>
                <w:lang w:val="en-US" w:eastAsia="zh-CN"/>
              </w:rPr>
              <w:t>3）</w:t>
            </w:r>
            <w:r>
              <w:rPr>
                <w:rFonts w:hint="eastAsia"/>
                <w:bCs/>
                <w:color w:val="auto"/>
                <w:szCs w:val="21"/>
              </w:rPr>
              <w:t>物料泄露风险防范措施</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①</w:t>
            </w:r>
            <w:r>
              <w:rPr>
                <w:rFonts w:hint="eastAsia"/>
                <w:bCs/>
                <w:color w:val="auto"/>
                <w:szCs w:val="21"/>
              </w:rPr>
              <w:t>仓库地面进行防腐防渗处理，库房远离火种、热源，保证阴凉、通风，采用防爆型照明、通风设施。库房内应备有泄漏应急处理设备和合适的收容材料。</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②</w:t>
            </w:r>
            <w:r>
              <w:rPr>
                <w:rFonts w:hint="eastAsia"/>
                <w:bCs/>
                <w:color w:val="auto"/>
                <w:szCs w:val="21"/>
              </w:rPr>
              <w:t>原料不得露天堆放，储存于阴凉通风仓间内，远离火种、热源，防止阳光直射，应与易燃或可燃物分开存放。搬运时轻装轻卸，防止桶破损或倾倒。</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③</w:t>
            </w:r>
            <w:r>
              <w:rPr>
                <w:rFonts w:hint="eastAsia"/>
                <w:bCs/>
                <w:color w:val="auto"/>
                <w:szCs w:val="21"/>
              </w:rPr>
              <w:t>根据《工业场所职业病危害警示标识》（GBZ158-2003）的规定，在生产车间等使用有毒有害物品作业场所设置黄色区域警示线、警示标识和中文警示说明，警示说明应当载明产生风险事故及职业病危害因素的种类、后果、预防以及应急救治措施等内容。</w:t>
            </w:r>
          </w:p>
          <w:p>
            <w:pPr>
              <w:adjustRightInd w:val="0"/>
              <w:snapToGrid w:val="0"/>
              <w:spacing w:line="500" w:lineRule="exact"/>
              <w:ind w:firstLine="420" w:firstLineChars="200"/>
              <w:rPr>
                <w:rFonts w:hint="eastAsia"/>
                <w:bCs/>
                <w:color w:val="auto"/>
                <w:szCs w:val="21"/>
              </w:rPr>
            </w:pPr>
            <w:r>
              <w:rPr>
                <w:rFonts w:hint="eastAsia"/>
                <w:bCs/>
                <w:color w:val="auto"/>
                <w:szCs w:val="21"/>
                <w:lang w:eastAsia="zh-CN"/>
              </w:rPr>
              <w:t>（</w:t>
            </w:r>
            <w:r>
              <w:rPr>
                <w:rFonts w:hint="eastAsia"/>
                <w:bCs/>
                <w:color w:val="auto"/>
                <w:szCs w:val="21"/>
              </w:rPr>
              <w:t>4）废气、废水风险防范措施</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①</w:t>
            </w:r>
            <w:r>
              <w:rPr>
                <w:rFonts w:hint="eastAsia"/>
                <w:bCs/>
                <w:color w:val="auto"/>
                <w:szCs w:val="21"/>
              </w:rPr>
              <w:t>环保处理系统必须确保日常运行，如发现人为原因不开启环保设施，责任人应受处罚，并承担事故排放责任。若环保治理措施因故不能运行，则生产必须停止。</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②</w:t>
            </w:r>
            <w:r>
              <w:rPr>
                <w:rFonts w:hint="eastAsia"/>
                <w:bCs/>
                <w:color w:val="auto"/>
                <w:szCs w:val="21"/>
              </w:rPr>
              <w:t>为确保处理效率，在车间设备检修期间，环保处理系统也应同时进行检修，日常应有专人负责进行维护。</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③</w:t>
            </w:r>
            <w:r>
              <w:rPr>
                <w:rFonts w:hint="eastAsia"/>
                <w:bCs/>
                <w:color w:val="auto"/>
                <w:szCs w:val="21"/>
              </w:rPr>
              <w:t>加强对操作工人的培训，培养员工的安全和环境意识，提高操作工人的技术水平和责任感，降低操作失误而造成的事故。</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④</w:t>
            </w:r>
            <w:r>
              <w:rPr>
                <w:rFonts w:hint="eastAsia"/>
                <w:bCs/>
                <w:color w:val="auto"/>
                <w:szCs w:val="21"/>
              </w:rPr>
              <w:t>制定严格的废水排放制度，确保清污分流，加强厂区内雨水管网建设，确保厂区雨水排入市政雨水管网。</w:t>
            </w:r>
          </w:p>
          <w:p>
            <w:pPr>
              <w:adjustRightInd w:val="0"/>
              <w:snapToGrid w:val="0"/>
              <w:spacing w:line="500" w:lineRule="exact"/>
              <w:ind w:firstLine="420" w:firstLineChars="200"/>
              <w:rPr>
                <w:rFonts w:hint="eastAsia"/>
                <w:bCs/>
                <w:color w:val="auto"/>
                <w:szCs w:val="21"/>
              </w:rPr>
            </w:pPr>
            <w:r>
              <w:rPr>
                <w:rFonts w:hint="eastAsia"/>
                <w:bCs/>
                <w:color w:val="auto"/>
                <w:szCs w:val="21"/>
              </w:rPr>
              <w:t>5）火灾事故风险防范措施</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①</w:t>
            </w:r>
            <w:r>
              <w:rPr>
                <w:rFonts w:hint="eastAsia"/>
                <w:bCs/>
                <w:color w:val="auto"/>
                <w:szCs w:val="21"/>
              </w:rPr>
              <w:t>建设单位按照《建筑灭火器配置设计规范》（GB50140-2005）要求，在生产车间、仓库等配备消防器材用于扑灭初期火灾。定期检查及维护消防器材；</w:t>
            </w:r>
          </w:p>
          <w:p>
            <w:pPr>
              <w:adjustRightInd w:val="0"/>
              <w:snapToGrid w:val="0"/>
              <w:spacing w:line="500" w:lineRule="exact"/>
              <w:ind w:firstLine="420" w:firstLineChars="200"/>
              <w:rPr>
                <w:rFonts w:hint="eastAsia"/>
                <w:bCs/>
                <w:color w:val="auto"/>
                <w:szCs w:val="21"/>
              </w:rPr>
            </w:pPr>
            <w:r>
              <w:rPr>
                <w:rFonts w:hint="eastAsia" w:ascii="宋体" w:hAnsi="宋体"/>
                <w:bCs/>
                <w:color w:val="auto"/>
                <w:szCs w:val="21"/>
              </w:rPr>
              <w:t>②</w:t>
            </w:r>
            <w:r>
              <w:rPr>
                <w:rFonts w:hint="eastAsia"/>
                <w:bCs/>
                <w:color w:val="auto"/>
                <w:szCs w:val="21"/>
              </w:rPr>
              <w:t>原料、成品远离火种、热源，车间禁止使用明火，设置明显的提示标志。</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bCs/>
                <w:color w:val="auto"/>
                <w:szCs w:val="21"/>
              </w:rPr>
            </w:pPr>
            <w:r>
              <w:rPr>
                <w:rFonts w:hint="eastAsia" w:ascii="宋体" w:hAnsi="宋体"/>
                <w:bCs/>
                <w:color w:val="auto"/>
                <w:szCs w:val="21"/>
              </w:rPr>
              <w:t>③</w:t>
            </w:r>
            <w:r>
              <w:rPr>
                <w:rFonts w:hint="eastAsia"/>
                <w:bCs/>
                <w:color w:val="auto"/>
                <w:szCs w:val="21"/>
              </w:rPr>
              <w:t>明确部门、个人的职责，按计划落实到个人。加强对员工教育培训，增强员工风险意识，提高事故自救能力，制定和强化各种安全管理、安全生产规程，减少人为风险事故的发生。</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bCs/>
                <w:color w:val="auto"/>
                <w:szCs w:val="21"/>
              </w:rPr>
            </w:pPr>
            <w:r>
              <w:rPr>
                <w:rFonts w:hint="eastAsia"/>
                <w:bCs/>
                <w:color w:val="auto"/>
                <w:szCs w:val="21"/>
              </w:rPr>
              <w:t>6）事故废水风险防范措施</w:t>
            </w:r>
          </w:p>
          <w:p>
            <w:pPr>
              <w:adjustRightInd w:val="0"/>
              <w:snapToGrid w:val="0"/>
              <w:spacing w:line="500" w:lineRule="exact"/>
              <w:ind w:firstLine="420" w:firstLineChars="200"/>
              <w:rPr>
                <w:rFonts w:hint="eastAsia"/>
                <w:bCs/>
                <w:color w:val="auto"/>
                <w:szCs w:val="21"/>
              </w:rPr>
            </w:pPr>
            <w:r>
              <w:rPr>
                <w:rFonts w:hint="eastAsia"/>
                <w:bCs/>
                <w:color w:val="auto"/>
                <w:szCs w:val="21"/>
              </w:rPr>
              <w:t>事故排放是指污染防治措施不能正常运行时导致污染物达不到预期治理效果或没有经过污水处理就直接排放出去。项目不向环境直接排放废水，主要考虑发生突发环境事故时消防废水的排放。</w:t>
            </w:r>
          </w:p>
          <w:p>
            <w:pPr>
              <w:adjustRightInd w:val="0"/>
              <w:snapToGrid w:val="0"/>
              <w:spacing w:line="500" w:lineRule="exact"/>
              <w:ind w:firstLine="420" w:firstLineChars="200"/>
              <w:rPr>
                <w:rFonts w:hint="eastAsia"/>
                <w:bCs/>
                <w:color w:val="auto"/>
                <w:szCs w:val="21"/>
              </w:rPr>
            </w:pPr>
            <w:r>
              <w:rPr>
                <w:rFonts w:hint="eastAsia"/>
                <w:bCs/>
                <w:color w:val="auto"/>
                <w:szCs w:val="21"/>
              </w:rPr>
              <w:t>为避免消防废水污染周边水体，项目拟采取以下风险防范措施：</w:t>
            </w:r>
          </w:p>
          <w:p>
            <w:pPr>
              <w:adjustRightInd w:val="0"/>
              <w:snapToGrid w:val="0"/>
              <w:spacing w:line="500" w:lineRule="exact"/>
              <w:ind w:firstLine="420" w:firstLineChars="200"/>
              <w:rPr>
                <w:rFonts w:hint="eastAsia"/>
                <w:bCs/>
                <w:color w:val="auto"/>
                <w:szCs w:val="21"/>
              </w:rPr>
            </w:pPr>
            <w:r>
              <w:rPr>
                <w:rFonts w:hint="eastAsia"/>
                <w:bCs/>
                <w:color w:val="auto"/>
                <w:szCs w:val="21"/>
                <w:lang w:val="en-US" w:eastAsia="zh-CN"/>
              </w:rPr>
              <w:t>①</w:t>
            </w:r>
            <w:r>
              <w:rPr>
                <w:rFonts w:hint="eastAsia"/>
                <w:bCs/>
                <w:color w:val="auto"/>
                <w:szCs w:val="21"/>
              </w:rPr>
              <w:t>消防水与雨水共用一套管网，采用切换阀来调节消防水与雨水的排放；</w:t>
            </w:r>
          </w:p>
          <w:p>
            <w:pPr>
              <w:adjustRightInd w:val="0"/>
              <w:snapToGrid w:val="0"/>
              <w:spacing w:line="500" w:lineRule="exact"/>
              <w:ind w:firstLine="420" w:firstLineChars="200"/>
              <w:rPr>
                <w:rFonts w:hint="eastAsia"/>
                <w:bCs/>
                <w:color w:val="auto"/>
                <w:szCs w:val="21"/>
              </w:rPr>
            </w:pPr>
            <w:r>
              <w:rPr>
                <w:rFonts w:hint="eastAsia"/>
                <w:bCs/>
                <w:color w:val="auto"/>
                <w:szCs w:val="21"/>
                <w:lang w:val="en-US" w:eastAsia="zh-CN"/>
              </w:rPr>
              <w:t>②</w:t>
            </w:r>
            <w:r>
              <w:rPr>
                <w:rFonts w:hint="eastAsia"/>
                <w:bCs/>
                <w:color w:val="auto"/>
                <w:szCs w:val="21"/>
              </w:rPr>
              <w:t>设立合适的事故应急池</w:t>
            </w:r>
          </w:p>
          <w:p>
            <w:pPr>
              <w:adjustRightInd w:val="0"/>
              <w:snapToGrid w:val="0"/>
              <w:spacing w:line="500" w:lineRule="exact"/>
              <w:ind w:firstLine="420" w:firstLineChars="200"/>
              <w:rPr>
                <w:rFonts w:hint="eastAsia"/>
                <w:bCs/>
                <w:color w:val="auto"/>
                <w:szCs w:val="21"/>
              </w:rPr>
            </w:pPr>
            <w:r>
              <w:rPr>
                <w:rFonts w:hint="eastAsia"/>
                <w:bCs/>
                <w:color w:val="auto"/>
                <w:szCs w:val="21"/>
              </w:rPr>
              <w:t>根据参考《化工建设项目环境保护工程设计标准》的内容出，事故储存设施总有效容积的核算考虑以下几个方面：</w:t>
            </w:r>
          </w:p>
          <w:p>
            <w:pPr>
              <w:adjustRightInd w:val="0"/>
              <w:snapToGrid w:val="0"/>
              <w:spacing w:line="500" w:lineRule="exact"/>
              <w:jc w:val="center"/>
              <w:rPr>
                <w:rFonts w:hint="eastAsia"/>
                <w:bCs/>
                <w:color w:val="auto"/>
                <w:szCs w:val="21"/>
              </w:rPr>
            </w:pPr>
            <w:r>
              <w:rPr>
                <w:rFonts w:hint="eastAsia"/>
                <w:bCs/>
                <w:color w:val="auto"/>
                <w:szCs w:val="21"/>
              </w:rPr>
              <w:t>V总=（V1+ V2- V3）max + V4+ V5</w:t>
            </w:r>
          </w:p>
          <w:p>
            <w:pPr>
              <w:adjustRightInd w:val="0"/>
              <w:snapToGrid w:val="0"/>
              <w:spacing w:line="500" w:lineRule="exact"/>
              <w:ind w:firstLine="420" w:firstLineChars="200"/>
              <w:rPr>
                <w:rFonts w:hint="eastAsia"/>
                <w:bCs/>
                <w:color w:val="auto"/>
                <w:szCs w:val="21"/>
              </w:rPr>
            </w:pPr>
            <w:r>
              <w:rPr>
                <w:rFonts w:hint="eastAsia"/>
                <w:bCs/>
                <w:color w:val="auto"/>
                <w:szCs w:val="21"/>
              </w:rPr>
              <w:t>注：（V1+ V2- V3）max是指对收集系统范围内不同罐组或装置分别计算V1+ V2- V3，取其中最大值。</w:t>
            </w:r>
          </w:p>
          <w:p>
            <w:pPr>
              <w:adjustRightInd w:val="0"/>
              <w:snapToGrid w:val="0"/>
              <w:spacing w:line="500" w:lineRule="exact"/>
              <w:ind w:firstLine="420" w:firstLineChars="200"/>
              <w:rPr>
                <w:rFonts w:hint="eastAsia"/>
                <w:bCs/>
                <w:color w:val="auto"/>
                <w:szCs w:val="21"/>
              </w:rPr>
            </w:pPr>
            <w:r>
              <w:rPr>
                <w:rFonts w:hint="eastAsia"/>
                <w:bCs/>
                <w:color w:val="auto"/>
                <w:szCs w:val="21"/>
              </w:rPr>
              <w:t>V1——收集系统范围内发生事故的储罐或装置的物料量；</w:t>
            </w:r>
          </w:p>
          <w:p>
            <w:pPr>
              <w:adjustRightInd w:val="0"/>
              <w:snapToGrid w:val="0"/>
              <w:spacing w:line="500" w:lineRule="exact"/>
              <w:ind w:firstLine="420" w:firstLineChars="200"/>
              <w:rPr>
                <w:rFonts w:hint="eastAsia"/>
                <w:bCs/>
                <w:color w:val="auto"/>
                <w:szCs w:val="21"/>
              </w:rPr>
            </w:pPr>
            <w:r>
              <w:rPr>
                <w:rFonts w:hint="eastAsia"/>
                <w:bCs/>
                <w:color w:val="auto"/>
                <w:szCs w:val="21"/>
              </w:rPr>
              <w:t>V2——发生事故的储罐或装置的消防水量，m</w:t>
            </w:r>
            <w:r>
              <w:rPr>
                <w:rFonts w:hint="eastAsia"/>
                <w:bCs/>
                <w:color w:val="auto"/>
                <w:szCs w:val="21"/>
                <w:vertAlign w:val="superscript"/>
              </w:rPr>
              <w:t>3</w:t>
            </w:r>
            <w:r>
              <w:rPr>
                <w:rFonts w:hint="eastAsia"/>
                <w:bCs/>
                <w:color w:val="auto"/>
                <w:szCs w:val="21"/>
              </w:rPr>
              <w:t>；</w:t>
            </w:r>
          </w:p>
          <w:p>
            <w:pPr>
              <w:adjustRightInd w:val="0"/>
              <w:snapToGrid w:val="0"/>
              <w:spacing w:line="500" w:lineRule="exact"/>
              <w:ind w:firstLine="420" w:firstLineChars="200"/>
              <w:rPr>
                <w:rFonts w:hint="eastAsia"/>
                <w:bCs/>
                <w:color w:val="auto"/>
                <w:szCs w:val="21"/>
              </w:rPr>
            </w:pPr>
            <w:r>
              <w:rPr>
                <w:rFonts w:hint="eastAsia"/>
                <w:bCs/>
                <w:color w:val="auto"/>
                <w:szCs w:val="21"/>
              </w:rPr>
              <w:t>V3——发生事故时可以转输到其他储存或处理设施的物料量，m</w:t>
            </w:r>
            <w:r>
              <w:rPr>
                <w:rFonts w:hint="eastAsia"/>
                <w:bCs/>
                <w:color w:val="auto"/>
                <w:szCs w:val="21"/>
                <w:vertAlign w:val="superscript"/>
              </w:rPr>
              <w:t>3</w:t>
            </w:r>
            <w:r>
              <w:rPr>
                <w:rFonts w:hint="eastAsia"/>
                <w:bCs/>
                <w:color w:val="auto"/>
                <w:szCs w:val="21"/>
              </w:rPr>
              <w:t>；</w:t>
            </w:r>
          </w:p>
          <w:p>
            <w:pPr>
              <w:adjustRightInd w:val="0"/>
              <w:snapToGrid w:val="0"/>
              <w:spacing w:line="500" w:lineRule="exact"/>
              <w:ind w:firstLine="420" w:firstLineChars="200"/>
              <w:rPr>
                <w:rFonts w:hint="eastAsia"/>
                <w:bCs/>
                <w:color w:val="auto"/>
                <w:szCs w:val="21"/>
              </w:rPr>
            </w:pPr>
            <w:r>
              <w:rPr>
                <w:rFonts w:hint="eastAsia"/>
                <w:bCs/>
                <w:color w:val="auto"/>
                <w:szCs w:val="21"/>
              </w:rPr>
              <w:t>V4——发生事故时仍必须进入该收集系统的生产废水量，m</w:t>
            </w:r>
            <w:r>
              <w:rPr>
                <w:rFonts w:hint="eastAsia"/>
                <w:bCs/>
                <w:color w:val="auto"/>
                <w:szCs w:val="21"/>
                <w:vertAlign w:val="superscript"/>
              </w:rPr>
              <w:t>3</w:t>
            </w:r>
            <w:r>
              <w:rPr>
                <w:rFonts w:hint="eastAsia"/>
                <w:bCs/>
                <w:color w:val="auto"/>
                <w:szCs w:val="21"/>
              </w:rPr>
              <w:t xml:space="preserve">； </w:t>
            </w:r>
          </w:p>
          <w:p>
            <w:pPr>
              <w:adjustRightInd w:val="0"/>
              <w:snapToGrid w:val="0"/>
              <w:spacing w:line="500" w:lineRule="exact"/>
              <w:ind w:firstLine="420" w:firstLineChars="200"/>
              <w:rPr>
                <w:rFonts w:hint="eastAsia"/>
                <w:bCs/>
                <w:color w:val="auto"/>
                <w:szCs w:val="21"/>
              </w:rPr>
            </w:pPr>
            <w:r>
              <w:rPr>
                <w:rFonts w:hint="eastAsia"/>
                <w:bCs/>
                <w:color w:val="auto"/>
                <w:szCs w:val="21"/>
              </w:rPr>
              <w:t>V5—发生事故时可能进入该收集系统的降雨量，m</w:t>
            </w:r>
            <w:r>
              <w:rPr>
                <w:rFonts w:hint="eastAsia"/>
                <w:bCs/>
                <w:color w:val="auto"/>
                <w:szCs w:val="21"/>
                <w:vertAlign w:val="superscript"/>
              </w:rPr>
              <w:t>3</w:t>
            </w:r>
            <w:r>
              <w:rPr>
                <w:rFonts w:hint="eastAsia"/>
                <w:bCs/>
                <w:color w:val="auto"/>
                <w:szCs w:val="21"/>
              </w:rPr>
              <w:t>。</w:t>
            </w:r>
          </w:p>
          <w:p>
            <w:pPr>
              <w:adjustRightInd w:val="0"/>
              <w:snapToGrid w:val="0"/>
              <w:spacing w:line="500" w:lineRule="exact"/>
              <w:ind w:firstLine="420" w:firstLineChars="200"/>
              <w:rPr>
                <w:rFonts w:hint="eastAsia"/>
                <w:bCs/>
                <w:color w:val="auto"/>
                <w:szCs w:val="21"/>
              </w:rPr>
            </w:pPr>
            <w:r>
              <w:rPr>
                <w:rFonts w:hint="eastAsia"/>
                <w:bCs/>
                <w:color w:val="auto"/>
                <w:szCs w:val="21"/>
                <w:lang w:val="en-US" w:eastAsia="zh-CN"/>
              </w:rPr>
              <w:t xml:space="preserve">① </w:t>
            </w:r>
            <w:r>
              <w:rPr>
                <w:rFonts w:hint="eastAsia"/>
                <w:bCs/>
                <w:color w:val="auto"/>
                <w:szCs w:val="21"/>
              </w:rPr>
              <w:t>物料量（V1）：</w:t>
            </w:r>
          </w:p>
          <w:p>
            <w:pPr>
              <w:adjustRightInd w:val="0"/>
              <w:snapToGrid w:val="0"/>
              <w:spacing w:line="500" w:lineRule="exact"/>
              <w:ind w:firstLine="420" w:firstLineChars="200"/>
              <w:rPr>
                <w:bCs/>
                <w:color w:val="auto"/>
                <w:szCs w:val="21"/>
              </w:rPr>
            </w:pPr>
            <w:r>
              <w:rPr>
                <w:rFonts w:hint="eastAsia"/>
                <w:bCs/>
                <w:color w:val="auto"/>
                <w:szCs w:val="21"/>
              </w:rPr>
              <w:t>按照项目液态物料最大包装</w:t>
            </w:r>
            <w:r>
              <w:rPr>
                <w:rFonts w:hint="eastAsia"/>
                <w:bCs/>
                <w:color w:val="auto"/>
                <w:szCs w:val="21"/>
                <w:lang w:val="en-US" w:eastAsia="zh-CN"/>
              </w:rPr>
              <w:t>25L</w:t>
            </w:r>
            <w:r>
              <w:rPr>
                <w:rFonts w:hint="eastAsia"/>
                <w:bCs/>
                <w:color w:val="auto"/>
                <w:szCs w:val="21"/>
              </w:rPr>
              <w:t>计算（同时发生两个及以上物料桶泄漏的概率较低，本次仅考虑1个物料桶泄漏），则物料量为</w:t>
            </w:r>
            <w:r>
              <w:rPr>
                <w:rFonts w:hint="eastAsia"/>
                <w:bCs/>
                <w:color w:val="auto"/>
                <w:szCs w:val="21"/>
                <w:lang w:val="en-US" w:eastAsia="zh-CN"/>
              </w:rPr>
              <w:t>0.025</w:t>
            </w:r>
            <w:r>
              <w:rPr>
                <w:rFonts w:hint="eastAsia"/>
                <w:bCs/>
                <w:color w:val="auto"/>
                <w:szCs w:val="21"/>
              </w:rPr>
              <w:t>m</w:t>
            </w:r>
            <w:r>
              <w:rPr>
                <w:rFonts w:hint="eastAsia"/>
                <w:bCs/>
                <w:color w:val="auto"/>
                <w:szCs w:val="21"/>
                <w:vertAlign w:val="superscript"/>
              </w:rPr>
              <w:t>3</w:t>
            </w:r>
            <w:r>
              <w:rPr>
                <w:rFonts w:hint="eastAsia"/>
                <w:bCs/>
                <w:color w:val="auto"/>
                <w:szCs w:val="21"/>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bCs/>
                <w:color w:val="auto"/>
                <w:szCs w:val="21"/>
              </w:rPr>
            </w:pPr>
            <w:r>
              <w:rPr>
                <w:rFonts w:hint="eastAsia"/>
                <w:bCs/>
                <w:color w:val="auto"/>
                <w:szCs w:val="21"/>
                <w:lang w:val="en-US" w:eastAsia="zh-CN"/>
              </w:rPr>
              <w:t xml:space="preserve">② </w:t>
            </w:r>
            <w:r>
              <w:rPr>
                <w:rFonts w:hint="eastAsia"/>
                <w:bCs/>
                <w:color w:val="auto"/>
                <w:szCs w:val="21"/>
              </w:rPr>
              <w:t>发生事故车间设备的消防水量（V2）：</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bCs/>
                <w:color w:val="auto"/>
                <w:szCs w:val="21"/>
              </w:rPr>
            </w:pPr>
            <w:r>
              <w:rPr>
                <w:rFonts w:hint="eastAsia"/>
                <w:bCs/>
                <w:color w:val="auto"/>
                <w:szCs w:val="21"/>
              </w:rPr>
              <w:t>根据《建筑设计防火规范》（GB50016-2014）规定，项目室外消火栓消防水用量为</w:t>
            </w:r>
            <w:r>
              <w:rPr>
                <w:rFonts w:hint="eastAsia"/>
                <w:bCs/>
                <w:color w:val="auto"/>
                <w:szCs w:val="21"/>
                <w:lang w:val="en-US" w:eastAsia="zh-CN"/>
              </w:rPr>
              <w:t>2</w:t>
            </w:r>
            <w:r>
              <w:rPr>
                <w:rFonts w:hint="eastAsia"/>
                <w:bCs/>
                <w:color w:val="auto"/>
                <w:szCs w:val="21"/>
              </w:rPr>
              <w:t>0L/s，室内消火栓消防水用量为10L/s，一次灭火持续时间按</w:t>
            </w:r>
            <w:r>
              <w:rPr>
                <w:rFonts w:hint="eastAsia"/>
                <w:bCs/>
                <w:color w:val="auto"/>
                <w:szCs w:val="21"/>
                <w:lang w:val="en-US" w:eastAsia="zh-CN"/>
              </w:rPr>
              <w:t>2</w:t>
            </w:r>
            <w:r>
              <w:rPr>
                <w:rFonts w:hint="eastAsia"/>
                <w:bCs/>
                <w:color w:val="auto"/>
                <w:szCs w:val="21"/>
              </w:rPr>
              <w:t>小时计，则一次火灾灭火消防用水量为</w:t>
            </w:r>
            <w:r>
              <w:rPr>
                <w:rFonts w:hint="eastAsia"/>
                <w:bCs/>
                <w:color w:val="auto"/>
                <w:szCs w:val="21"/>
                <w:lang w:val="en-US" w:eastAsia="zh-CN"/>
              </w:rPr>
              <w:t>216</w:t>
            </w:r>
            <w:r>
              <w:rPr>
                <w:rFonts w:hint="eastAsia"/>
                <w:bCs/>
                <w:color w:val="auto"/>
                <w:szCs w:val="21"/>
              </w:rPr>
              <w:t>m</w:t>
            </w:r>
            <w:r>
              <w:rPr>
                <w:rFonts w:hint="eastAsia"/>
                <w:bCs/>
                <w:color w:val="auto"/>
                <w:szCs w:val="21"/>
                <w:vertAlign w:val="superscript"/>
              </w:rPr>
              <w:t>3</w:t>
            </w:r>
            <w:r>
              <w:rPr>
                <w:rFonts w:hint="eastAsia"/>
                <w:bCs/>
                <w:color w:val="auto"/>
                <w:szCs w:val="21"/>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bCs/>
                <w:color w:val="auto"/>
                <w:szCs w:val="21"/>
              </w:rPr>
            </w:pPr>
            <w:r>
              <w:rPr>
                <w:rFonts w:hint="eastAsia"/>
                <w:bCs/>
                <w:color w:val="auto"/>
                <w:szCs w:val="21"/>
                <w:lang w:val="en-US" w:eastAsia="zh-CN"/>
              </w:rPr>
              <w:t xml:space="preserve">③ </w:t>
            </w:r>
            <w:r>
              <w:rPr>
                <w:rFonts w:hint="eastAsia"/>
                <w:bCs/>
                <w:color w:val="auto"/>
                <w:szCs w:val="21"/>
              </w:rPr>
              <w:t>发生事故时可以转输到其他储存或处理设施的物料量（V3）：V3</w:t>
            </w:r>
            <w:r>
              <w:rPr>
                <w:rFonts w:hint="eastAsia"/>
                <w:bCs/>
                <w:color w:val="auto"/>
                <w:szCs w:val="21"/>
                <w:lang w:val="en-US" w:eastAsia="zh-CN"/>
              </w:rPr>
              <w:t>=0；</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bCs/>
                <w:color w:val="auto"/>
                <w:szCs w:val="21"/>
              </w:rPr>
            </w:pPr>
            <w:r>
              <w:rPr>
                <w:rFonts w:hint="eastAsia"/>
                <w:bCs/>
                <w:color w:val="auto"/>
                <w:szCs w:val="21"/>
                <w:lang w:val="en-US" w:eastAsia="zh-CN"/>
              </w:rPr>
              <w:t xml:space="preserve">④ </w:t>
            </w:r>
            <w:r>
              <w:rPr>
                <w:rFonts w:hint="eastAsia"/>
                <w:bCs/>
                <w:color w:val="auto"/>
                <w:szCs w:val="21"/>
              </w:rPr>
              <w:t>发生事故时仍必须进入该收集系统的生产废水量（V4）：V3</w:t>
            </w:r>
            <w:r>
              <w:rPr>
                <w:rFonts w:hint="eastAsia"/>
                <w:bCs/>
                <w:color w:val="auto"/>
                <w:szCs w:val="21"/>
                <w:lang w:val="en-US" w:eastAsia="zh-CN"/>
              </w:rPr>
              <w:t>=0；</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bCs/>
                <w:color w:val="auto"/>
                <w:szCs w:val="21"/>
              </w:rPr>
            </w:pPr>
            <w:r>
              <w:rPr>
                <w:rFonts w:hint="eastAsia"/>
                <w:bCs/>
                <w:color w:val="auto"/>
                <w:szCs w:val="21"/>
                <w:lang w:val="en-US" w:eastAsia="zh-CN"/>
              </w:rPr>
              <w:t xml:space="preserve">⑤ </w:t>
            </w:r>
            <w:r>
              <w:rPr>
                <w:rFonts w:hint="eastAsia"/>
                <w:bCs/>
                <w:color w:val="auto"/>
                <w:szCs w:val="21"/>
              </w:rPr>
              <w:t xml:space="preserve">发生事故时可能进入该收集系统的降雨量（V5）： </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bCs/>
                <w:color w:val="auto"/>
                <w:szCs w:val="21"/>
              </w:rPr>
            </w:pPr>
            <w:r>
              <w:rPr>
                <w:rFonts w:hint="eastAsia"/>
                <w:bCs/>
                <w:color w:val="auto"/>
                <w:szCs w:val="21"/>
              </w:rPr>
              <w:t>V5=10qFt</w:t>
            </w:r>
          </w:p>
          <w:p>
            <w:pPr>
              <w:adjustRightInd w:val="0"/>
              <w:snapToGrid w:val="0"/>
              <w:spacing w:line="500" w:lineRule="exact"/>
              <w:ind w:firstLine="420" w:firstLineChars="200"/>
              <w:rPr>
                <w:rFonts w:hint="eastAsia"/>
                <w:bCs/>
                <w:color w:val="auto"/>
                <w:szCs w:val="21"/>
              </w:rPr>
            </w:pPr>
            <w:r>
              <w:rPr>
                <w:rFonts w:hint="eastAsia"/>
                <w:bCs/>
                <w:color w:val="auto"/>
                <w:szCs w:val="21"/>
              </w:rPr>
              <w:t>q——降雨强度，mm。南通市平均降雨量为1215.6mm，年平均降雨天数按120天计算，则日平均降雨强度为10.13mm；</w:t>
            </w:r>
          </w:p>
          <w:p>
            <w:pPr>
              <w:adjustRightInd w:val="0"/>
              <w:snapToGrid w:val="0"/>
              <w:spacing w:line="500" w:lineRule="exact"/>
              <w:ind w:firstLine="420" w:firstLineChars="200"/>
              <w:rPr>
                <w:rFonts w:hint="eastAsia"/>
                <w:bCs/>
                <w:color w:val="auto"/>
                <w:szCs w:val="21"/>
              </w:rPr>
            </w:pPr>
            <w:r>
              <w:rPr>
                <w:rFonts w:hint="eastAsia"/>
                <w:bCs/>
                <w:color w:val="auto"/>
                <w:szCs w:val="21"/>
              </w:rPr>
              <w:t>F——汇水面积，F=</w:t>
            </w:r>
            <w:r>
              <w:rPr>
                <w:rFonts w:hint="eastAsia"/>
                <w:bCs/>
                <w:color w:val="auto"/>
                <w:szCs w:val="21"/>
                <w:lang w:val="en-US" w:eastAsia="zh-CN"/>
              </w:rPr>
              <w:t>1.46</w:t>
            </w:r>
            <w:r>
              <w:rPr>
                <w:rFonts w:hint="eastAsia"/>
                <w:bCs/>
                <w:color w:val="auto"/>
                <w:szCs w:val="21"/>
              </w:rPr>
              <w:t>hm</w:t>
            </w:r>
            <w:r>
              <w:rPr>
                <w:rFonts w:hint="eastAsia"/>
                <w:bCs/>
                <w:color w:val="auto"/>
                <w:szCs w:val="21"/>
                <w:vertAlign w:val="superscript"/>
              </w:rPr>
              <w:t>2</w:t>
            </w:r>
            <w:r>
              <w:rPr>
                <w:rFonts w:hint="eastAsia"/>
                <w:bCs/>
                <w:color w:val="auto"/>
                <w:szCs w:val="21"/>
              </w:rPr>
              <w:t>；</w:t>
            </w:r>
          </w:p>
          <w:p>
            <w:pPr>
              <w:adjustRightInd w:val="0"/>
              <w:snapToGrid w:val="0"/>
              <w:spacing w:line="500" w:lineRule="exact"/>
              <w:ind w:firstLine="420" w:firstLineChars="200"/>
              <w:rPr>
                <w:rFonts w:hint="eastAsia"/>
                <w:bCs/>
                <w:color w:val="auto"/>
                <w:szCs w:val="21"/>
              </w:rPr>
            </w:pPr>
            <w:r>
              <w:rPr>
                <w:rFonts w:hint="eastAsia"/>
                <w:bCs/>
                <w:color w:val="auto"/>
                <w:szCs w:val="21"/>
              </w:rPr>
              <w:t>t——降雨时间，按2小时计算。</w:t>
            </w:r>
          </w:p>
          <w:p>
            <w:pPr>
              <w:adjustRightInd w:val="0"/>
              <w:snapToGrid w:val="0"/>
              <w:spacing w:line="500" w:lineRule="exact"/>
              <w:ind w:firstLine="420" w:firstLineChars="200"/>
              <w:rPr>
                <w:rFonts w:hint="eastAsia"/>
                <w:bCs/>
                <w:color w:val="auto"/>
                <w:szCs w:val="21"/>
              </w:rPr>
            </w:pPr>
            <w:r>
              <w:rPr>
                <w:rFonts w:hint="eastAsia"/>
                <w:bCs/>
                <w:color w:val="auto"/>
                <w:szCs w:val="21"/>
              </w:rPr>
              <w:t>V5=10·10.13·</w:t>
            </w:r>
            <w:r>
              <w:rPr>
                <w:rFonts w:hint="eastAsia"/>
                <w:bCs/>
                <w:color w:val="auto"/>
                <w:szCs w:val="21"/>
                <w:lang w:val="en-US" w:eastAsia="zh-CN"/>
              </w:rPr>
              <w:t>1.46</w:t>
            </w:r>
            <w:r>
              <w:rPr>
                <w:rFonts w:hint="eastAsia"/>
                <w:bCs/>
                <w:color w:val="auto"/>
                <w:szCs w:val="21"/>
              </w:rPr>
              <w:t>·2/24=</w:t>
            </w:r>
            <w:r>
              <w:rPr>
                <w:rFonts w:hint="eastAsia"/>
                <w:bCs/>
                <w:color w:val="auto"/>
                <w:szCs w:val="21"/>
                <w:lang w:val="en-US" w:eastAsia="zh-CN"/>
              </w:rPr>
              <w:t>12.3</w:t>
            </w:r>
            <w:r>
              <w:rPr>
                <w:rFonts w:hint="eastAsia"/>
                <w:bCs/>
                <w:color w:val="auto"/>
                <w:szCs w:val="21"/>
              </w:rPr>
              <w:t>m</w:t>
            </w:r>
            <w:r>
              <w:rPr>
                <w:rFonts w:hint="eastAsia"/>
                <w:bCs/>
                <w:color w:val="auto"/>
                <w:szCs w:val="21"/>
                <w:vertAlign w:val="superscript"/>
              </w:rPr>
              <w:t>3</w:t>
            </w:r>
          </w:p>
          <w:p>
            <w:pPr>
              <w:adjustRightInd w:val="0"/>
              <w:snapToGrid w:val="0"/>
              <w:spacing w:line="500" w:lineRule="exact"/>
              <w:ind w:firstLine="420" w:firstLineChars="200"/>
              <w:rPr>
                <w:rFonts w:hint="eastAsia"/>
                <w:bCs/>
                <w:color w:val="auto"/>
                <w:szCs w:val="21"/>
              </w:rPr>
            </w:pPr>
            <w:r>
              <w:rPr>
                <w:rFonts w:hint="eastAsia"/>
                <w:bCs/>
                <w:color w:val="auto"/>
                <w:szCs w:val="21"/>
              </w:rPr>
              <w:t>综上所述，V总=</w:t>
            </w:r>
            <w:r>
              <w:rPr>
                <w:rFonts w:hint="eastAsia"/>
                <w:bCs/>
                <w:color w:val="auto"/>
                <w:szCs w:val="21"/>
                <w:lang w:val="en-US" w:eastAsia="zh-CN"/>
              </w:rPr>
              <w:t>0.025</w:t>
            </w:r>
            <w:r>
              <w:rPr>
                <w:rFonts w:hint="eastAsia"/>
                <w:bCs/>
                <w:color w:val="auto"/>
                <w:szCs w:val="21"/>
              </w:rPr>
              <w:t>+</w:t>
            </w:r>
            <w:r>
              <w:rPr>
                <w:rFonts w:hint="eastAsia"/>
                <w:bCs/>
                <w:color w:val="auto"/>
                <w:szCs w:val="21"/>
                <w:lang w:val="en-US" w:eastAsia="zh-CN"/>
              </w:rPr>
              <w:t>216</w:t>
            </w:r>
            <w:r>
              <w:rPr>
                <w:rFonts w:hint="eastAsia"/>
                <w:bCs/>
                <w:color w:val="auto"/>
                <w:szCs w:val="21"/>
              </w:rPr>
              <w:t>-</w:t>
            </w:r>
            <w:r>
              <w:rPr>
                <w:rFonts w:hint="eastAsia"/>
                <w:bCs/>
                <w:color w:val="auto"/>
                <w:szCs w:val="21"/>
                <w:lang w:val="en-US" w:eastAsia="zh-CN"/>
              </w:rPr>
              <w:t>0</w:t>
            </w:r>
            <w:r>
              <w:rPr>
                <w:rFonts w:hint="eastAsia"/>
                <w:bCs/>
                <w:color w:val="auto"/>
                <w:szCs w:val="21"/>
              </w:rPr>
              <w:t>+</w:t>
            </w:r>
            <w:r>
              <w:rPr>
                <w:rFonts w:hint="eastAsia"/>
                <w:bCs/>
                <w:color w:val="auto"/>
                <w:szCs w:val="21"/>
                <w:lang w:val="en-US" w:eastAsia="zh-CN"/>
              </w:rPr>
              <w:t>0</w:t>
            </w:r>
            <w:r>
              <w:rPr>
                <w:rFonts w:hint="eastAsia"/>
                <w:bCs/>
                <w:color w:val="auto"/>
                <w:szCs w:val="21"/>
              </w:rPr>
              <w:t>+</w:t>
            </w:r>
            <w:r>
              <w:rPr>
                <w:rFonts w:hint="eastAsia"/>
                <w:bCs/>
                <w:color w:val="auto"/>
                <w:szCs w:val="21"/>
                <w:lang w:val="en-US" w:eastAsia="zh-CN"/>
              </w:rPr>
              <w:t>12.7</w:t>
            </w:r>
            <w:r>
              <w:rPr>
                <w:rFonts w:hint="eastAsia"/>
                <w:bCs/>
                <w:color w:val="auto"/>
                <w:szCs w:val="21"/>
              </w:rPr>
              <w:t>=</w:t>
            </w:r>
            <w:r>
              <w:rPr>
                <w:rFonts w:hint="eastAsia"/>
                <w:bCs/>
                <w:color w:val="auto"/>
                <w:szCs w:val="21"/>
                <w:lang w:val="en-US" w:eastAsia="zh-CN"/>
              </w:rPr>
              <w:t>228.7</w:t>
            </w:r>
            <w:r>
              <w:rPr>
                <w:rFonts w:hint="eastAsia"/>
                <w:bCs/>
                <w:color w:val="auto"/>
                <w:szCs w:val="21"/>
              </w:rPr>
              <w:t>m</w:t>
            </w:r>
            <w:r>
              <w:rPr>
                <w:rFonts w:hint="eastAsia"/>
                <w:bCs/>
                <w:color w:val="auto"/>
                <w:szCs w:val="21"/>
                <w:vertAlign w:val="superscript"/>
              </w:rPr>
              <w:t>3</w:t>
            </w:r>
            <w:r>
              <w:rPr>
                <w:rFonts w:hint="eastAsia"/>
                <w:bCs/>
                <w:color w:val="auto"/>
                <w:szCs w:val="21"/>
              </w:rPr>
              <w:t>。</w:t>
            </w:r>
          </w:p>
          <w:p>
            <w:pPr>
              <w:adjustRightInd w:val="0"/>
              <w:snapToGrid w:val="0"/>
              <w:spacing w:line="500" w:lineRule="exact"/>
              <w:ind w:firstLine="420" w:firstLineChars="200"/>
              <w:rPr>
                <w:rFonts w:hint="eastAsia"/>
                <w:bCs/>
                <w:color w:val="auto"/>
                <w:szCs w:val="21"/>
              </w:rPr>
            </w:pPr>
            <w:r>
              <w:rPr>
                <w:rFonts w:hint="eastAsia"/>
                <w:bCs/>
                <w:color w:val="auto"/>
                <w:szCs w:val="21"/>
              </w:rPr>
              <w:t>通过上述计算可知，若发生事故时在降雨，配套建设的事故水收集系统最大容积应满足</w:t>
            </w:r>
            <w:r>
              <w:rPr>
                <w:rFonts w:hint="eastAsia"/>
                <w:bCs/>
                <w:color w:val="auto"/>
                <w:szCs w:val="21"/>
                <w:lang w:val="en-US" w:eastAsia="zh-CN"/>
              </w:rPr>
              <w:t>228.7</w:t>
            </w:r>
            <w:r>
              <w:rPr>
                <w:rFonts w:hint="eastAsia"/>
                <w:bCs/>
                <w:color w:val="auto"/>
                <w:szCs w:val="21"/>
              </w:rPr>
              <w:t>m</w:t>
            </w:r>
            <w:r>
              <w:rPr>
                <w:rFonts w:hint="eastAsia"/>
                <w:bCs/>
                <w:color w:val="auto"/>
                <w:szCs w:val="21"/>
                <w:vertAlign w:val="superscript"/>
              </w:rPr>
              <w:t>3</w:t>
            </w:r>
            <w:r>
              <w:rPr>
                <w:rFonts w:hint="eastAsia"/>
                <w:bCs/>
                <w:color w:val="auto"/>
                <w:szCs w:val="21"/>
              </w:rPr>
              <w:t>，本项目依托现有</w:t>
            </w:r>
            <w:r>
              <w:rPr>
                <w:rFonts w:hint="eastAsia"/>
                <w:bCs/>
                <w:color w:val="auto"/>
                <w:szCs w:val="21"/>
                <w:lang w:val="en-US" w:eastAsia="zh-CN"/>
              </w:rPr>
              <w:t>250</w:t>
            </w:r>
            <w:r>
              <w:rPr>
                <w:rFonts w:hint="eastAsia"/>
                <w:bCs/>
                <w:color w:val="auto"/>
                <w:szCs w:val="21"/>
              </w:rPr>
              <w:t>m</w:t>
            </w:r>
            <w:r>
              <w:rPr>
                <w:rFonts w:hint="eastAsia"/>
                <w:bCs/>
                <w:color w:val="auto"/>
                <w:szCs w:val="21"/>
                <w:vertAlign w:val="superscript"/>
              </w:rPr>
              <w:t>3</w:t>
            </w:r>
            <w:r>
              <w:rPr>
                <w:rFonts w:hint="eastAsia"/>
                <w:bCs/>
                <w:color w:val="auto"/>
                <w:szCs w:val="21"/>
              </w:rPr>
              <w:t>事故池，能满足事故废水收集的要求。综上分析，在各项环境风险防范措施落实到位的情况下，可降低本项目的环境风险，最大程度减少对环境可能造成的危害，项目对环境的风险影响可接受。</w:t>
            </w:r>
          </w:p>
          <w:p>
            <w:pPr>
              <w:adjustRightInd w:val="0"/>
              <w:snapToGrid w:val="0"/>
              <w:spacing w:line="500" w:lineRule="exact"/>
              <w:ind w:firstLine="422" w:firstLineChars="200"/>
              <w:rPr>
                <w:rFonts w:hint="eastAsia"/>
                <w:b/>
                <w:color w:val="auto"/>
                <w:szCs w:val="21"/>
              </w:rPr>
            </w:pPr>
            <w:r>
              <w:rPr>
                <w:rFonts w:hint="eastAsia"/>
                <w:b/>
                <w:color w:val="auto"/>
                <w:szCs w:val="21"/>
              </w:rPr>
              <w:t>八、电磁辐射</w:t>
            </w:r>
          </w:p>
          <w:p>
            <w:pPr>
              <w:adjustRightInd w:val="0"/>
              <w:snapToGrid w:val="0"/>
              <w:spacing w:line="500" w:lineRule="exact"/>
              <w:ind w:firstLine="420" w:firstLineChars="200"/>
              <w:rPr>
                <w:rFonts w:hint="eastAsia"/>
                <w:bCs/>
                <w:color w:val="auto"/>
                <w:szCs w:val="21"/>
              </w:rPr>
            </w:pPr>
            <w:r>
              <w:rPr>
                <w:rFonts w:hint="eastAsia"/>
                <w:bCs/>
                <w:color w:val="auto"/>
                <w:szCs w:val="21"/>
              </w:rPr>
              <w:t>项目不涉及电磁辐射设施的使用。</w:t>
            </w:r>
          </w:p>
          <w:p>
            <w:pPr>
              <w:spacing w:line="500" w:lineRule="exact"/>
              <w:ind w:firstLine="422" w:firstLineChars="200"/>
              <w:rPr>
                <w:b/>
                <w:bCs/>
              </w:rPr>
            </w:pPr>
            <w:r>
              <w:rPr>
                <w:b/>
                <w:bCs/>
              </w:rPr>
              <w:t>九、“三同时”验收监测方案和环境应急监测方案</w:t>
            </w:r>
          </w:p>
          <w:p>
            <w:pPr>
              <w:spacing w:line="500" w:lineRule="exact"/>
              <w:ind w:firstLine="420" w:firstLineChars="200"/>
            </w:pPr>
            <w:r>
              <w:t>（1）“三同时”验收监测一览表</w:t>
            </w:r>
          </w:p>
          <w:p>
            <w:pPr>
              <w:spacing w:line="500" w:lineRule="exact"/>
              <w:ind w:firstLine="422" w:firstLineChars="200"/>
              <w:jc w:val="center"/>
              <w:rPr>
                <w:b/>
                <w:bCs/>
              </w:rPr>
            </w:pPr>
            <w:r>
              <w:rPr>
                <w:b/>
                <w:bCs/>
              </w:rPr>
              <w:t>表 4-</w:t>
            </w:r>
            <w:r>
              <w:rPr>
                <w:rFonts w:hint="eastAsia"/>
                <w:b/>
                <w:bCs/>
              </w:rPr>
              <w:t>2</w:t>
            </w:r>
            <w:r>
              <w:rPr>
                <w:rFonts w:hint="eastAsia"/>
                <w:b/>
                <w:bCs/>
                <w:lang w:val="en-US" w:eastAsia="zh-CN"/>
              </w:rPr>
              <w:t xml:space="preserve">4  </w:t>
            </w:r>
            <w:r>
              <w:rPr>
                <w:b/>
                <w:bCs/>
              </w:rPr>
              <w:t>“三同时”验收监测一览表</w:t>
            </w:r>
          </w:p>
          <w:tbl>
            <w:tblPr>
              <w:tblStyle w:val="11"/>
              <w:tblW w:w="755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078"/>
              <w:gridCol w:w="2482"/>
              <w:gridCol w:w="1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32" w:type="dxa"/>
                  <w:noWrap w:val="0"/>
                  <w:vAlign w:val="center"/>
                </w:tcPr>
                <w:p>
                  <w:pPr>
                    <w:jc w:val="center"/>
                    <w:rPr>
                      <w:sz w:val="18"/>
                      <w:szCs w:val="18"/>
                    </w:rPr>
                  </w:pPr>
                  <w:r>
                    <w:rPr>
                      <w:sz w:val="18"/>
                      <w:szCs w:val="18"/>
                    </w:rPr>
                    <w:t>污染种类</w:t>
                  </w:r>
                </w:p>
              </w:tc>
              <w:tc>
                <w:tcPr>
                  <w:tcW w:w="2078" w:type="dxa"/>
                  <w:noWrap w:val="0"/>
                  <w:vAlign w:val="center"/>
                </w:tcPr>
                <w:p>
                  <w:pPr>
                    <w:jc w:val="center"/>
                    <w:rPr>
                      <w:sz w:val="18"/>
                      <w:szCs w:val="18"/>
                    </w:rPr>
                  </w:pPr>
                  <w:r>
                    <w:rPr>
                      <w:sz w:val="18"/>
                      <w:szCs w:val="18"/>
                    </w:rPr>
                    <w:t>监测点位置</w:t>
                  </w:r>
                </w:p>
              </w:tc>
              <w:tc>
                <w:tcPr>
                  <w:tcW w:w="2482" w:type="dxa"/>
                  <w:noWrap w:val="0"/>
                  <w:vAlign w:val="center"/>
                </w:tcPr>
                <w:p>
                  <w:pPr>
                    <w:jc w:val="center"/>
                    <w:rPr>
                      <w:sz w:val="18"/>
                      <w:szCs w:val="18"/>
                    </w:rPr>
                  </w:pPr>
                  <w:r>
                    <w:rPr>
                      <w:sz w:val="18"/>
                      <w:szCs w:val="18"/>
                    </w:rPr>
                    <w:t>监测项目</w:t>
                  </w:r>
                </w:p>
              </w:tc>
              <w:tc>
                <w:tcPr>
                  <w:tcW w:w="1965" w:type="dxa"/>
                  <w:noWrap w:val="0"/>
                  <w:vAlign w:val="center"/>
                </w:tcPr>
                <w:p>
                  <w:pPr>
                    <w:jc w:val="center"/>
                    <w:rPr>
                      <w:sz w:val="18"/>
                      <w:szCs w:val="18"/>
                    </w:rPr>
                  </w:pPr>
                  <w:r>
                    <w:rPr>
                      <w:sz w:val="18"/>
                      <w:szCs w:val="18"/>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2" w:type="dxa"/>
                  <w:noWrap w:val="0"/>
                  <w:vAlign w:val="center"/>
                </w:tcPr>
                <w:p>
                  <w:pPr>
                    <w:jc w:val="center"/>
                    <w:rPr>
                      <w:sz w:val="18"/>
                      <w:szCs w:val="18"/>
                    </w:rPr>
                  </w:pPr>
                  <w:r>
                    <w:rPr>
                      <w:sz w:val="18"/>
                      <w:szCs w:val="18"/>
                    </w:rPr>
                    <w:t>废气</w:t>
                  </w:r>
                </w:p>
              </w:tc>
              <w:tc>
                <w:tcPr>
                  <w:tcW w:w="2078" w:type="dxa"/>
                  <w:noWrap w:val="0"/>
                  <w:vAlign w:val="center"/>
                </w:tcPr>
                <w:p>
                  <w:pPr>
                    <w:jc w:val="center"/>
                    <w:rPr>
                      <w:rFonts w:hint="eastAsia" w:eastAsia="宋体"/>
                      <w:sz w:val="18"/>
                      <w:szCs w:val="18"/>
                      <w:lang w:eastAsia="zh-CN"/>
                    </w:rPr>
                  </w:pPr>
                  <w:r>
                    <w:rPr>
                      <w:sz w:val="18"/>
                      <w:szCs w:val="18"/>
                    </w:rPr>
                    <w:t>厂界</w:t>
                  </w:r>
                </w:p>
              </w:tc>
              <w:tc>
                <w:tcPr>
                  <w:tcW w:w="2482" w:type="dxa"/>
                  <w:noWrap w:val="0"/>
                  <w:vAlign w:val="center"/>
                </w:tcPr>
                <w:p>
                  <w:pPr>
                    <w:jc w:val="center"/>
                    <w:rPr>
                      <w:rFonts w:hint="eastAsia" w:eastAsia="宋体"/>
                      <w:sz w:val="18"/>
                      <w:szCs w:val="18"/>
                      <w:lang w:val="en-US" w:eastAsia="zh-CN"/>
                    </w:rPr>
                  </w:pPr>
                  <w:r>
                    <w:rPr>
                      <w:rFonts w:hint="eastAsia"/>
                      <w:sz w:val="18"/>
                      <w:szCs w:val="18"/>
                      <w:lang w:eastAsia="zh-CN"/>
                    </w:rPr>
                    <w:t>氨、硫化氢、臭气浓度</w:t>
                  </w:r>
                </w:p>
              </w:tc>
              <w:tc>
                <w:tcPr>
                  <w:tcW w:w="1965" w:type="dxa"/>
                  <w:noWrap w:val="0"/>
                  <w:vAlign w:val="center"/>
                </w:tcPr>
                <w:p>
                  <w:pPr>
                    <w:jc w:val="center"/>
                    <w:rPr>
                      <w:sz w:val="18"/>
                      <w:szCs w:val="18"/>
                    </w:rPr>
                  </w:pPr>
                  <w:r>
                    <w:rPr>
                      <w:sz w:val="18"/>
                      <w:szCs w:val="18"/>
                    </w:rPr>
                    <w:t>2 天×3次/天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2" w:type="dxa"/>
                  <w:vMerge w:val="restart"/>
                  <w:noWrap w:val="0"/>
                  <w:vAlign w:val="center"/>
                </w:tcPr>
                <w:p>
                  <w:pPr>
                    <w:jc w:val="center"/>
                    <w:rPr>
                      <w:rFonts w:hint="eastAsia" w:eastAsia="宋体"/>
                      <w:sz w:val="18"/>
                      <w:szCs w:val="18"/>
                      <w:lang w:eastAsia="zh-CN"/>
                    </w:rPr>
                  </w:pPr>
                  <w:r>
                    <w:rPr>
                      <w:rFonts w:hint="eastAsia"/>
                      <w:sz w:val="18"/>
                      <w:szCs w:val="18"/>
                      <w:lang w:eastAsia="zh-CN"/>
                    </w:rPr>
                    <w:t>废水</w:t>
                  </w:r>
                </w:p>
              </w:tc>
              <w:tc>
                <w:tcPr>
                  <w:tcW w:w="2078" w:type="dxa"/>
                  <w:noWrap w:val="0"/>
                  <w:vAlign w:val="center"/>
                </w:tcPr>
                <w:p>
                  <w:pPr>
                    <w:jc w:val="center"/>
                    <w:rPr>
                      <w:rFonts w:hint="eastAsia"/>
                      <w:sz w:val="18"/>
                      <w:szCs w:val="18"/>
                      <w:lang w:eastAsia="zh-CN"/>
                    </w:rPr>
                  </w:pPr>
                  <w:r>
                    <w:rPr>
                      <w:rFonts w:hint="eastAsia"/>
                      <w:sz w:val="18"/>
                      <w:szCs w:val="18"/>
                      <w:lang w:eastAsia="zh-CN"/>
                    </w:rPr>
                    <w:t>污水处理站进出口</w:t>
                  </w:r>
                </w:p>
              </w:tc>
              <w:tc>
                <w:tcPr>
                  <w:tcW w:w="2482" w:type="dxa"/>
                  <w:noWrap w:val="0"/>
                  <w:vAlign w:val="center"/>
                </w:tcPr>
                <w:p>
                  <w:pPr>
                    <w:keepNext w:val="0"/>
                    <w:keepLines w:val="0"/>
                    <w:widowControl/>
                    <w:suppressLineNumbers w:val="0"/>
                    <w:jc w:val="left"/>
                    <w:rPr>
                      <w:rFonts w:hint="default" w:ascii="Times New Roman" w:hAnsi="Times New Roman" w:cs="Times New Roman"/>
                      <w:sz w:val="21"/>
                      <w:szCs w:val="21"/>
                      <w:lang w:eastAsia="zh-CN"/>
                    </w:rPr>
                  </w:pPr>
                  <w:r>
                    <w:rPr>
                      <w:rFonts w:hint="default" w:ascii="Times New Roman" w:hAnsi="Times New Roman" w:eastAsia="宋体" w:cs="Times New Roman"/>
                      <w:color w:val="000000"/>
                      <w:kern w:val="0"/>
                      <w:sz w:val="18"/>
                      <w:szCs w:val="18"/>
                      <w:lang w:val="en-US" w:eastAsia="zh-CN" w:bidi="ar"/>
                    </w:rPr>
                    <w:t>COD、BOD</w:t>
                  </w:r>
                  <w:r>
                    <w:rPr>
                      <w:rFonts w:hint="default" w:ascii="Times New Roman" w:hAnsi="Times New Roman" w:eastAsia="宋体" w:cs="Times New Roman"/>
                      <w:color w:val="000000"/>
                      <w:kern w:val="0"/>
                      <w:sz w:val="18"/>
                      <w:szCs w:val="18"/>
                      <w:vertAlign w:val="subscript"/>
                      <w:lang w:val="en-US" w:eastAsia="zh-CN" w:bidi="ar"/>
                    </w:rPr>
                    <w:t>5</w:t>
                  </w:r>
                  <w:r>
                    <w:rPr>
                      <w:rFonts w:hint="default" w:ascii="Times New Roman" w:hAnsi="Times New Roman" w:eastAsia="宋体" w:cs="Times New Roman"/>
                      <w:color w:val="000000"/>
                      <w:kern w:val="0"/>
                      <w:sz w:val="18"/>
                      <w:szCs w:val="18"/>
                      <w:lang w:val="en-US" w:eastAsia="zh-CN" w:bidi="ar"/>
                    </w:rPr>
                    <w:t>、SS、氨氮、TN、TP、色度、LAS</w:t>
                  </w:r>
                </w:p>
              </w:tc>
              <w:tc>
                <w:tcPr>
                  <w:tcW w:w="1965" w:type="dxa"/>
                  <w:noWrap w:val="0"/>
                  <w:vAlign w:val="center"/>
                </w:tcPr>
                <w:p>
                  <w:pPr>
                    <w:jc w:val="center"/>
                    <w:rPr>
                      <w:sz w:val="18"/>
                      <w:szCs w:val="18"/>
                    </w:rPr>
                  </w:pPr>
                  <w:r>
                    <w:rPr>
                      <w:sz w:val="18"/>
                      <w:szCs w:val="18"/>
                    </w:rPr>
                    <w:t>2 天×3次/天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2" w:type="dxa"/>
                  <w:vMerge w:val="continue"/>
                  <w:noWrap w:val="0"/>
                  <w:vAlign w:val="center"/>
                </w:tcPr>
                <w:p>
                  <w:pPr>
                    <w:jc w:val="center"/>
                    <w:rPr>
                      <w:rFonts w:hint="eastAsia" w:eastAsia="宋体"/>
                      <w:sz w:val="18"/>
                      <w:szCs w:val="18"/>
                      <w:lang w:eastAsia="zh-CN"/>
                    </w:rPr>
                  </w:pPr>
                </w:p>
              </w:tc>
              <w:tc>
                <w:tcPr>
                  <w:tcW w:w="2078" w:type="dxa"/>
                  <w:noWrap w:val="0"/>
                  <w:vAlign w:val="center"/>
                </w:tcPr>
                <w:p>
                  <w:pPr>
                    <w:jc w:val="center"/>
                    <w:rPr>
                      <w:rFonts w:hint="eastAsia" w:eastAsia="宋体"/>
                      <w:sz w:val="18"/>
                      <w:szCs w:val="18"/>
                      <w:lang w:eastAsia="zh-CN"/>
                    </w:rPr>
                  </w:pPr>
                  <w:r>
                    <w:rPr>
                      <w:rFonts w:hint="eastAsia"/>
                      <w:sz w:val="18"/>
                      <w:szCs w:val="18"/>
                      <w:lang w:eastAsia="zh-CN"/>
                    </w:rPr>
                    <w:t>厂区总排口</w:t>
                  </w:r>
                </w:p>
              </w:tc>
              <w:tc>
                <w:tcPr>
                  <w:tcW w:w="2482" w:type="dxa"/>
                  <w:noWrap w:val="0"/>
                  <w:vAlign w:val="center"/>
                </w:tcPr>
                <w:p>
                  <w:pPr>
                    <w:jc w:val="center"/>
                    <w:rPr>
                      <w:rFonts w:hint="eastAsia"/>
                      <w:sz w:val="18"/>
                      <w:szCs w:val="18"/>
                      <w:lang w:eastAsia="zh-CN"/>
                    </w:rPr>
                  </w:pPr>
                  <w:r>
                    <w:rPr>
                      <w:rFonts w:hint="default" w:ascii="Times New Roman" w:hAnsi="Times New Roman" w:eastAsia="宋体" w:cs="Times New Roman"/>
                      <w:color w:val="000000"/>
                      <w:kern w:val="0"/>
                      <w:sz w:val="18"/>
                      <w:szCs w:val="18"/>
                      <w:lang w:val="en-US" w:eastAsia="zh-CN" w:bidi="ar"/>
                    </w:rPr>
                    <w:t>COD、BOD</w:t>
                  </w:r>
                  <w:r>
                    <w:rPr>
                      <w:rFonts w:hint="default" w:ascii="Times New Roman" w:hAnsi="Times New Roman" w:eastAsia="宋体" w:cs="Times New Roman"/>
                      <w:color w:val="000000"/>
                      <w:kern w:val="0"/>
                      <w:sz w:val="18"/>
                      <w:szCs w:val="18"/>
                      <w:vertAlign w:val="subscript"/>
                      <w:lang w:val="en-US" w:eastAsia="zh-CN" w:bidi="ar"/>
                    </w:rPr>
                    <w:t>5</w:t>
                  </w:r>
                  <w:r>
                    <w:rPr>
                      <w:rFonts w:hint="default" w:ascii="Times New Roman" w:hAnsi="Times New Roman" w:eastAsia="宋体" w:cs="Times New Roman"/>
                      <w:color w:val="000000"/>
                      <w:kern w:val="0"/>
                      <w:sz w:val="18"/>
                      <w:szCs w:val="18"/>
                      <w:lang w:val="en-US" w:eastAsia="zh-CN" w:bidi="ar"/>
                    </w:rPr>
                    <w:t>、SS、氨氮、TN、TP、色度、LAS</w:t>
                  </w:r>
                  <w:r>
                    <w:rPr>
                      <w:rFonts w:hint="eastAsia" w:ascii="Times New Roman" w:hAnsi="Times New Roman" w:eastAsia="宋体" w:cs="Times New Roman"/>
                      <w:color w:val="000000"/>
                      <w:kern w:val="0"/>
                      <w:sz w:val="18"/>
                      <w:szCs w:val="18"/>
                      <w:lang w:val="en-US" w:eastAsia="zh-CN" w:bidi="ar"/>
                    </w:rPr>
                    <w:t>、动植物油</w:t>
                  </w:r>
                </w:p>
              </w:tc>
              <w:tc>
                <w:tcPr>
                  <w:tcW w:w="1965" w:type="dxa"/>
                  <w:noWrap w:val="0"/>
                  <w:vAlign w:val="center"/>
                </w:tcPr>
                <w:p>
                  <w:pPr>
                    <w:jc w:val="center"/>
                    <w:rPr>
                      <w:sz w:val="18"/>
                      <w:szCs w:val="18"/>
                    </w:rPr>
                  </w:pPr>
                  <w:r>
                    <w:rPr>
                      <w:sz w:val="18"/>
                      <w:szCs w:val="18"/>
                    </w:rPr>
                    <w:t>2 天×3次/天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32" w:type="dxa"/>
                  <w:noWrap w:val="0"/>
                  <w:vAlign w:val="center"/>
                </w:tcPr>
                <w:p>
                  <w:pPr>
                    <w:jc w:val="center"/>
                    <w:rPr>
                      <w:sz w:val="18"/>
                      <w:szCs w:val="18"/>
                    </w:rPr>
                  </w:pPr>
                  <w:r>
                    <w:rPr>
                      <w:sz w:val="18"/>
                      <w:szCs w:val="18"/>
                    </w:rPr>
                    <w:t>噪声</w:t>
                  </w:r>
                </w:p>
              </w:tc>
              <w:tc>
                <w:tcPr>
                  <w:tcW w:w="2078" w:type="dxa"/>
                  <w:noWrap w:val="0"/>
                  <w:vAlign w:val="center"/>
                </w:tcPr>
                <w:p>
                  <w:pPr>
                    <w:jc w:val="center"/>
                    <w:rPr>
                      <w:sz w:val="18"/>
                      <w:szCs w:val="18"/>
                    </w:rPr>
                  </w:pPr>
                  <w:r>
                    <w:rPr>
                      <w:sz w:val="18"/>
                      <w:szCs w:val="18"/>
                    </w:rPr>
                    <w:t>厂界四周</w:t>
                  </w:r>
                </w:p>
              </w:tc>
              <w:tc>
                <w:tcPr>
                  <w:tcW w:w="2482" w:type="dxa"/>
                  <w:noWrap w:val="0"/>
                  <w:vAlign w:val="center"/>
                </w:tcPr>
                <w:p>
                  <w:pPr>
                    <w:widowControl/>
                    <w:jc w:val="center"/>
                    <w:rPr>
                      <w:sz w:val="18"/>
                      <w:szCs w:val="18"/>
                    </w:rPr>
                  </w:pPr>
                  <w:r>
                    <w:rPr>
                      <w:color w:val="000000"/>
                      <w:kern w:val="0"/>
                      <w:sz w:val="18"/>
                      <w:szCs w:val="18"/>
                      <w:lang w:bidi="ar"/>
                    </w:rPr>
                    <w:t>等效声级 Leq（A）</w:t>
                  </w:r>
                </w:p>
              </w:tc>
              <w:tc>
                <w:tcPr>
                  <w:tcW w:w="1965" w:type="dxa"/>
                  <w:noWrap w:val="0"/>
                  <w:vAlign w:val="center"/>
                </w:tcPr>
                <w:p>
                  <w:pPr>
                    <w:jc w:val="center"/>
                    <w:rPr>
                      <w:sz w:val="18"/>
                      <w:szCs w:val="18"/>
                    </w:rPr>
                  </w:pPr>
                  <w:r>
                    <w:rPr>
                      <w:sz w:val="18"/>
                      <w:szCs w:val="18"/>
                    </w:rPr>
                    <w:t>2 天×1次/天</w:t>
                  </w:r>
                </w:p>
              </w:tc>
            </w:tr>
          </w:tbl>
          <w:p>
            <w:pPr>
              <w:widowControl/>
              <w:spacing w:line="500" w:lineRule="exact"/>
              <w:ind w:firstLine="420" w:firstLineChars="200"/>
              <w:jc w:val="left"/>
              <w:rPr>
                <w:szCs w:val="21"/>
              </w:rPr>
            </w:pPr>
            <w:r>
              <w:rPr>
                <w:color w:val="000000"/>
                <w:kern w:val="0"/>
                <w:szCs w:val="21"/>
                <w:lang w:bidi="ar"/>
              </w:rPr>
              <w:t xml:space="preserve">（2）应急监测计划 </w:t>
            </w:r>
          </w:p>
          <w:p>
            <w:pPr>
              <w:widowControl/>
              <w:spacing w:line="500" w:lineRule="exact"/>
              <w:ind w:firstLine="420" w:firstLineChars="200"/>
              <w:jc w:val="left"/>
              <w:rPr>
                <w:szCs w:val="21"/>
              </w:rPr>
            </w:pPr>
            <w:r>
              <w:rPr>
                <w:color w:val="000000"/>
                <w:kern w:val="0"/>
                <w:szCs w:val="21"/>
                <w:lang w:bidi="ar"/>
              </w:rPr>
              <w:t xml:space="preserve">根据事故类型等因素确定最终的监测因子，具体的风险应急监测方案如下： </w:t>
            </w:r>
          </w:p>
          <w:p>
            <w:pPr>
              <w:widowControl/>
              <w:spacing w:line="500" w:lineRule="exact"/>
              <w:ind w:firstLine="420" w:firstLineChars="200"/>
              <w:jc w:val="left"/>
              <w:rPr>
                <w:szCs w:val="21"/>
              </w:rPr>
            </w:pPr>
            <w:r>
              <w:rPr>
                <w:color w:val="000000"/>
                <w:kern w:val="0"/>
                <w:szCs w:val="21"/>
                <w:lang w:bidi="ar"/>
              </w:rPr>
              <w:t xml:space="preserve">①大气环境监测 </w:t>
            </w:r>
          </w:p>
          <w:p>
            <w:pPr>
              <w:widowControl/>
              <w:spacing w:line="500" w:lineRule="exact"/>
              <w:ind w:firstLine="420" w:firstLineChars="200"/>
              <w:jc w:val="left"/>
              <w:rPr>
                <w:szCs w:val="21"/>
              </w:rPr>
            </w:pPr>
            <w:r>
              <w:rPr>
                <w:color w:val="000000"/>
                <w:kern w:val="0"/>
                <w:szCs w:val="21"/>
                <w:lang w:bidi="ar"/>
              </w:rPr>
              <w:t>监测因子：颗粒物、CO</w:t>
            </w:r>
            <w:r>
              <w:rPr>
                <w:rFonts w:hint="eastAsia"/>
                <w:color w:val="000000"/>
                <w:kern w:val="0"/>
                <w:szCs w:val="21"/>
                <w:lang w:eastAsia="zh-CN" w:bidi="ar"/>
              </w:rPr>
              <w:t>、臭气浓度、氨、硫化氢</w:t>
            </w:r>
            <w:r>
              <w:rPr>
                <w:color w:val="000000"/>
                <w:kern w:val="0"/>
                <w:szCs w:val="21"/>
                <w:lang w:bidi="ar"/>
              </w:rPr>
              <w:t xml:space="preserve">。 </w:t>
            </w:r>
          </w:p>
          <w:p>
            <w:pPr>
              <w:widowControl/>
              <w:spacing w:line="500" w:lineRule="exact"/>
              <w:ind w:firstLine="420" w:firstLineChars="200"/>
              <w:jc w:val="left"/>
              <w:rPr>
                <w:szCs w:val="21"/>
              </w:rPr>
            </w:pPr>
            <w:r>
              <w:rPr>
                <w:color w:val="000000"/>
                <w:kern w:val="0"/>
                <w:szCs w:val="21"/>
                <w:lang w:bidi="ar"/>
              </w:rPr>
              <w:t xml:space="preserve">监测时间和频次：按照事故持续时间决定监测时间，根据事故严重性决定监测频次。一般情况下每小时取样一次。随事故控制减弱，适当减少监测频次。 </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vertAlign w:val="baseline"/>
              </w:rPr>
            </w:pPr>
            <w:r>
              <w:rPr>
                <w:color w:val="000000"/>
                <w:kern w:val="0"/>
                <w:szCs w:val="21"/>
                <w:lang w:bidi="ar"/>
              </w:rPr>
              <w:t xml:space="preserve">监测布点：按事故发生时的主导风向的下风向，考虑区域功能设置1个测点，厂界设监控点。 </w:t>
            </w:r>
          </w:p>
        </w:tc>
      </w:tr>
    </w:tbl>
    <w:p>
      <w:pPr>
        <w:spacing w:before="156" w:beforeLines="50" w:after="156" w:afterLines="50"/>
        <w:jc w:val="center"/>
        <w:outlineLvl w:val="0"/>
        <w:rPr>
          <w:rFonts w:hint="eastAsia" w:ascii="黑体" w:hAnsi="黑体" w:eastAsia="黑体"/>
          <w:color w:val="auto"/>
          <w:sz w:val="30"/>
          <w:szCs w:val="30"/>
        </w:rPr>
      </w:pPr>
      <w:r>
        <w:rPr>
          <w:rFonts w:hint="eastAsia" w:ascii="黑体" w:hAnsi="黑体" w:eastAsia="黑体"/>
          <w:color w:val="auto"/>
          <w:sz w:val="30"/>
          <w:szCs w:val="30"/>
        </w:rPr>
        <w:t>五、环境保护措施监督检查清单</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755"/>
        <w:gridCol w:w="1710"/>
        <w:gridCol w:w="1869"/>
        <w:gridCol w:w="20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488" w:type="dxa"/>
            <w:tcBorders>
              <w:tl2br w:val="single" w:color="auto" w:sz="4" w:space="0"/>
            </w:tcBorders>
            <w:noWrap w:val="0"/>
            <w:vAlign w:val="top"/>
          </w:tcPr>
          <w:p>
            <w:pPr>
              <w:adjustRightInd w:val="0"/>
              <w:snapToGrid w:val="0"/>
              <w:ind w:firstLine="840"/>
              <w:rPr>
                <w:color w:val="auto"/>
                <w:szCs w:val="21"/>
              </w:rPr>
            </w:pPr>
            <w:r>
              <w:rPr>
                <w:color w:val="auto"/>
                <w:szCs w:val="21"/>
              </w:rPr>
              <w:t>内容</w:t>
            </w:r>
          </w:p>
          <w:p>
            <w:pPr>
              <w:adjustRightInd w:val="0"/>
              <w:snapToGrid w:val="0"/>
              <w:rPr>
                <w:rFonts w:hint="eastAsia"/>
                <w:color w:val="auto"/>
                <w:szCs w:val="21"/>
              </w:rPr>
            </w:pPr>
          </w:p>
          <w:p>
            <w:pPr>
              <w:adjustRightInd w:val="0"/>
              <w:snapToGrid w:val="0"/>
              <w:rPr>
                <w:color w:val="auto"/>
                <w:szCs w:val="21"/>
              </w:rPr>
            </w:pPr>
            <w:r>
              <w:rPr>
                <w:color w:val="auto"/>
                <w:szCs w:val="21"/>
              </w:rPr>
              <w:t>要素</w:t>
            </w:r>
          </w:p>
        </w:tc>
        <w:tc>
          <w:tcPr>
            <w:tcW w:w="1755" w:type="dxa"/>
            <w:noWrap w:val="0"/>
            <w:vAlign w:val="center"/>
          </w:tcPr>
          <w:p>
            <w:pPr>
              <w:adjustRightInd w:val="0"/>
              <w:snapToGrid w:val="0"/>
              <w:jc w:val="center"/>
              <w:rPr>
                <w:color w:val="auto"/>
                <w:szCs w:val="21"/>
              </w:rPr>
            </w:pPr>
            <w:r>
              <w:rPr>
                <w:color w:val="auto"/>
                <w:szCs w:val="21"/>
              </w:rPr>
              <w:t>排放口（编号、</w:t>
            </w:r>
          </w:p>
          <w:p>
            <w:pPr>
              <w:adjustRightInd w:val="0"/>
              <w:snapToGrid w:val="0"/>
              <w:jc w:val="center"/>
              <w:rPr>
                <w:color w:val="auto"/>
                <w:szCs w:val="21"/>
              </w:rPr>
            </w:pPr>
            <w:r>
              <w:rPr>
                <w:color w:val="auto"/>
                <w:szCs w:val="21"/>
              </w:rPr>
              <w:t>名称）/污染源</w:t>
            </w:r>
          </w:p>
        </w:tc>
        <w:tc>
          <w:tcPr>
            <w:tcW w:w="1710" w:type="dxa"/>
            <w:noWrap w:val="0"/>
            <w:vAlign w:val="center"/>
          </w:tcPr>
          <w:p>
            <w:pPr>
              <w:adjustRightInd w:val="0"/>
              <w:snapToGrid w:val="0"/>
              <w:jc w:val="center"/>
              <w:rPr>
                <w:color w:val="auto"/>
                <w:szCs w:val="21"/>
              </w:rPr>
            </w:pPr>
            <w:r>
              <w:rPr>
                <w:color w:val="auto"/>
                <w:szCs w:val="21"/>
              </w:rPr>
              <w:t>污染物项目</w:t>
            </w:r>
          </w:p>
        </w:tc>
        <w:tc>
          <w:tcPr>
            <w:tcW w:w="1869" w:type="dxa"/>
            <w:noWrap w:val="0"/>
            <w:vAlign w:val="center"/>
          </w:tcPr>
          <w:p>
            <w:pPr>
              <w:adjustRightInd w:val="0"/>
              <w:snapToGrid w:val="0"/>
              <w:jc w:val="center"/>
              <w:rPr>
                <w:color w:val="auto"/>
                <w:szCs w:val="21"/>
              </w:rPr>
            </w:pPr>
            <w:r>
              <w:rPr>
                <w:color w:val="auto"/>
                <w:szCs w:val="21"/>
              </w:rPr>
              <w:t>环境保护措施</w:t>
            </w:r>
          </w:p>
        </w:tc>
        <w:tc>
          <w:tcPr>
            <w:tcW w:w="2087" w:type="dxa"/>
            <w:noWrap w:val="0"/>
            <w:vAlign w:val="center"/>
          </w:tcPr>
          <w:p>
            <w:pPr>
              <w:adjustRightInd w:val="0"/>
              <w:snapToGrid w:val="0"/>
              <w:jc w:val="center"/>
              <w:rPr>
                <w:color w:val="auto"/>
                <w:szCs w:val="21"/>
              </w:rPr>
            </w:pPr>
            <w:r>
              <w:rPr>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88" w:type="dxa"/>
            <w:vMerge w:val="restart"/>
            <w:noWrap w:val="0"/>
            <w:vAlign w:val="center"/>
          </w:tcPr>
          <w:p>
            <w:pPr>
              <w:adjustRightInd w:val="0"/>
              <w:snapToGrid w:val="0"/>
              <w:jc w:val="center"/>
              <w:rPr>
                <w:color w:val="auto"/>
                <w:szCs w:val="21"/>
              </w:rPr>
            </w:pPr>
            <w:r>
              <w:rPr>
                <w:color w:val="auto"/>
                <w:szCs w:val="21"/>
              </w:rPr>
              <w:t>大气环境</w:t>
            </w:r>
          </w:p>
        </w:tc>
        <w:tc>
          <w:tcPr>
            <w:tcW w:w="1755" w:type="dxa"/>
            <w:vMerge w:val="restart"/>
            <w:noWrap w:val="0"/>
            <w:vAlign w:val="center"/>
          </w:tcPr>
          <w:p>
            <w:pPr>
              <w:adjustRightInd w:val="0"/>
              <w:snapToGrid w:val="0"/>
              <w:jc w:val="center"/>
              <w:rPr>
                <w:rFonts w:hint="eastAsia"/>
                <w:color w:val="auto"/>
                <w:szCs w:val="21"/>
              </w:rPr>
            </w:pPr>
            <w:r>
              <w:rPr>
                <w:rFonts w:hint="eastAsia"/>
                <w:color w:val="auto"/>
                <w:szCs w:val="21"/>
                <w:lang w:val="en-US" w:eastAsia="zh-CN"/>
              </w:rPr>
              <w:t>厂界</w:t>
            </w:r>
          </w:p>
        </w:tc>
        <w:tc>
          <w:tcPr>
            <w:tcW w:w="1710"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氨</w:t>
            </w:r>
          </w:p>
        </w:tc>
        <w:tc>
          <w:tcPr>
            <w:tcW w:w="1869" w:type="dxa"/>
            <w:vMerge w:val="restart"/>
            <w:noWrap w:val="0"/>
            <w:vAlign w:val="center"/>
          </w:tcPr>
          <w:p>
            <w:pPr>
              <w:adjustRightInd w:val="0"/>
              <w:snapToGrid w:val="0"/>
              <w:jc w:val="center"/>
              <w:rPr>
                <w:rFonts w:hint="eastAsia"/>
                <w:color w:val="auto"/>
                <w:szCs w:val="21"/>
              </w:rPr>
            </w:pPr>
            <w:r>
              <w:rPr>
                <w:rFonts w:hint="eastAsia"/>
                <w:color w:val="auto"/>
                <w:szCs w:val="21"/>
                <w:lang w:val="en-US" w:eastAsia="zh-CN"/>
              </w:rPr>
              <w:t>/</w:t>
            </w:r>
          </w:p>
        </w:tc>
        <w:tc>
          <w:tcPr>
            <w:tcW w:w="2087"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color w:val="auto"/>
                <w:szCs w:val="21"/>
              </w:rPr>
            </w:pPr>
            <w:r>
              <w:rPr>
                <w:rFonts w:hint="eastAsia"/>
                <w:color w:val="auto"/>
                <w:szCs w:val="21"/>
              </w:rPr>
              <w:t>《恶臭污染物排放标准》（14554-93）</w:t>
            </w:r>
          </w:p>
          <w:p>
            <w:pPr>
              <w:keepNext w:val="0"/>
              <w:keepLines w:val="0"/>
              <w:pageBreakBefore w:val="0"/>
              <w:widowControl w:val="0"/>
              <w:kinsoku/>
              <w:wordWrap w:val="0"/>
              <w:overflowPunct/>
              <w:topLinePunct w:val="0"/>
              <w:autoSpaceDE/>
              <w:autoSpaceDN/>
              <w:bidi w:val="0"/>
              <w:adjustRightInd w:val="0"/>
              <w:snapToGrid w:val="0"/>
              <w:jc w:val="both"/>
              <w:textAlignment w:val="auto"/>
              <w:rPr>
                <w:color w:val="auto"/>
                <w:szCs w:val="21"/>
              </w:rPr>
            </w:pPr>
            <w:r>
              <w:rPr>
                <w:rFonts w:hint="eastAsia"/>
                <w:color w:val="auto"/>
                <w:szCs w:val="21"/>
              </w:rPr>
              <w:t>表 1 二级厂界标准值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88" w:type="dxa"/>
            <w:vMerge w:val="continue"/>
            <w:noWrap w:val="0"/>
            <w:vAlign w:val="center"/>
          </w:tcPr>
          <w:p>
            <w:pPr>
              <w:adjustRightInd w:val="0"/>
              <w:snapToGrid w:val="0"/>
              <w:jc w:val="center"/>
              <w:rPr>
                <w:color w:val="auto"/>
                <w:szCs w:val="21"/>
              </w:rPr>
            </w:pPr>
          </w:p>
        </w:tc>
        <w:tc>
          <w:tcPr>
            <w:tcW w:w="1755" w:type="dxa"/>
            <w:vMerge w:val="continue"/>
            <w:noWrap w:val="0"/>
            <w:vAlign w:val="center"/>
          </w:tcPr>
          <w:p>
            <w:pPr>
              <w:adjustRightInd w:val="0"/>
              <w:snapToGrid w:val="0"/>
              <w:jc w:val="center"/>
              <w:rPr>
                <w:color w:val="auto"/>
                <w:szCs w:val="21"/>
              </w:rPr>
            </w:pPr>
          </w:p>
        </w:tc>
        <w:tc>
          <w:tcPr>
            <w:tcW w:w="1710"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硫化氢</w:t>
            </w:r>
          </w:p>
        </w:tc>
        <w:tc>
          <w:tcPr>
            <w:tcW w:w="1869" w:type="dxa"/>
            <w:vMerge w:val="continue"/>
            <w:noWrap w:val="0"/>
            <w:vAlign w:val="center"/>
          </w:tcPr>
          <w:p>
            <w:pPr>
              <w:adjustRightInd w:val="0"/>
              <w:snapToGrid w:val="0"/>
              <w:jc w:val="center"/>
              <w:rPr>
                <w:color w:val="auto"/>
                <w:szCs w:val="21"/>
              </w:rPr>
            </w:pPr>
          </w:p>
        </w:tc>
        <w:tc>
          <w:tcPr>
            <w:tcW w:w="2087" w:type="dxa"/>
            <w:vMerge w:val="continue"/>
            <w:noWrap w:val="0"/>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88" w:type="dxa"/>
            <w:vMerge w:val="continue"/>
            <w:noWrap w:val="0"/>
            <w:vAlign w:val="center"/>
          </w:tcPr>
          <w:p>
            <w:pPr>
              <w:adjustRightInd w:val="0"/>
              <w:snapToGrid w:val="0"/>
              <w:jc w:val="center"/>
              <w:rPr>
                <w:color w:val="auto"/>
                <w:szCs w:val="21"/>
              </w:rPr>
            </w:pPr>
          </w:p>
        </w:tc>
        <w:tc>
          <w:tcPr>
            <w:tcW w:w="1755" w:type="dxa"/>
            <w:vMerge w:val="continue"/>
            <w:noWrap w:val="0"/>
            <w:vAlign w:val="center"/>
          </w:tcPr>
          <w:p>
            <w:pPr>
              <w:adjustRightInd w:val="0"/>
              <w:snapToGrid w:val="0"/>
              <w:jc w:val="center"/>
              <w:rPr>
                <w:color w:val="auto"/>
                <w:szCs w:val="21"/>
              </w:rPr>
            </w:pPr>
          </w:p>
        </w:tc>
        <w:tc>
          <w:tcPr>
            <w:tcW w:w="1710" w:type="dxa"/>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臭气浓度</w:t>
            </w:r>
          </w:p>
        </w:tc>
        <w:tc>
          <w:tcPr>
            <w:tcW w:w="1869" w:type="dxa"/>
            <w:vMerge w:val="continue"/>
            <w:noWrap w:val="0"/>
            <w:vAlign w:val="center"/>
          </w:tcPr>
          <w:p>
            <w:pPr>
              <w:adjustRightInd w:val="0"/>
              <w:snapToGrid w:val="0"/>
              <w:jc w:val="center"/>
              <w:rPr>
                <w:color w:val="auto"/>
                <w:szCs w:val="21"/>
              </w:rPr>
            </w:pPr>
          </w:p>
        </w:tc>
        <w:tc>
          <w:tcPr>
            <w:tcW w:w="2087" w:type="dxa"/>
            <w:vMerge w:val="continue"/>
            <w:noWrap w:val="0"/>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488" w:type="dxa"/>
            <w:noWrap w:val="0"/>
            <w:vAlign w:val="center"/>
          </w:tcPr>
          <w:p>
            <w:pPr>
              <w:adjustRightInd w:val="0"/>
              <w:snapToGrid w:val="0"/>
              <w:jc w:val="center"/>
              <w:rPr>
                <w:rFonts w:hint="eastAsia" w:eastAsia="宋体"/>
                <w:color w:val="auto"/>
                <w:szCs w:val="21"/>
                <w:lang w:eastAsia="zh-CN"/>
              </w:rPr>
            </w:pPr>
            <w:r>
              <w:rPr>
                <w:rFonts w:hint="eastAsia"/>
                <w:color w:val="auto"/>
                <w:szCs w:val="21"/>
                <w:lang w:eastAsia="zh-CN"/>
              </w:rPr>
              <w:t>水环境</w:t>
            </w:r>
          </w:p>
        </w:tc>
        <w:tc>
          <w:tcPr>
            <w:tcW w:w="1755" w:type="dxa"/>
            <w:noWrap w:val="0"/>
            <w:vAlign w:val="center"/>
          </w:tcPr>
          <w:p>
            <w:pPr>
              <w:adjustRightInd w:val="0"/>
              <w:snapToGrid w:val="0"/>
              <w:jc w:val="center"/>
              <w:rPr>
                <w:rFonts w:hint="eastAsia"/>
                <w:color w:val="auto"/>
                <w:szCs w:val="21"/>
                <w:lang w:val="en-US" w:eastAsia="zh-CN"/>
              </w:rPr>
            </w:pPr>
            <w:r>
              <w:rPr>
                <w:rFonts w:hint="eastAsia"/>
                <w:color w:val="auto"/>
                <w:szCs w:val="21"/>
                <w:lang w:val="en-US" w:eastAsia="zh-CN"/>
              </w:rPr>
              <w:t>厂区总排口</w:t>
            </w:r>
          </w:p>
        </w:tc>
        <w:tc>
          <w:tcPr>
            <w:tcW w:w="1710"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COD、BOD</w:t>
            </w:r>
            <w:r>
              <w:rPr>
                <w:rFonts w:hint="eastAsia"/>
                <w:color w:val="auto"/>
                <w:szCs w:val="21"/>
                <w:vertAlign w:val="subscript"/>
                <w:lang w:val="en-US" w:eastAsia="zh-CN"/>
              </w:rPr>
              <w:t>5</w:t>
            </w:r>
            <w:r>
              <w:rPr>
                <w:rFonts w:hint="eastAsia"/>
                <w:color w:val="auto"/>
                <w:szCs w:val="21"/>
                <w:lang w:val="en-US" w:eastAsia="zh-CN"/>
              </w:rPr>
              <w:t>、SS、NH</w:t>
            </w:r>
            <w:r>
              <w:rPr>
                <w:rFonts w:hint="eastAsia"/>
                <w:color w:val="auto"/>
                <w:szCs w:val="21"/>
                <w:vertAlign w:val="subscript"/>
                <w:lang w:val="en-US" w:eastAsia="zh-CN"/>
              </w:rPr>
              <w:t>3</w:t>
            </w:r>
            <w:r>
              <w:rPr>
                <w:rFonts w:hint="eastAsia"/>
                <w:color w:val="auto"/>
                <w:szCs w:val="21"/>
                <w:lang w:val="en-US" w:eastAsia="zh-CN"/>
              </w:rPr>
              <w:t>-N、TP、TN、LAS、色度</w:t>
            </w:r>
          </w:p>
        </w:tc>
        <w:tc>
          <w:tcPr>
            <w:tcW w:w="1869" w:type="dxa"/>
            <w:noWrap w:val="0"/>
            <w:vAlign w:val="center"/>
          </w:tcPr>
          <w:p>
            <w:pPr>
              <w:adjustRightInd w:val="0"/>
              <w:snapToGrid w:val="0"/>
              <w:jc w:val="center"/>
              <w:rPr>
                <w:rFonts w:hint="eastAsia" w:eastAsia="宋体"/>
                <w:color w:val="auto"/>
                <w:szCs w:val="21"/>
                <w:lang w:eastAsia="zh-CN"/>
              </w:rPr>
            </w:pPr>
            <w:r>
              <w:rPr>
                <w:rFonts w:hint="eastAsia"/>
                <w:color w:val="auto"/>
                <w:szCs w:val="21"/>
                <w:lang w:eastAsia="zh-CN"/>
              </w:rPr>
              <w:t>化粪池、隔油池、污水处理设施</w:t>
            </w:r>
          </w:p>
        </w:tc>
        <w:tc>
          <w:tcPr>
            <w:tcW w:w="2087" w:type="dxa"/>
            <w:noWrap w:val="0"/>
            <w:vAlign w:val="center"/>
          </w:tcPr>
          <w:p>
            <w:pPr>
              <w:wordWrap w:val="0"/>
              <w:adjustRightInd w:val="0"/>
              <w:snapToGrid w:val="0"/>
              <w:rPr>
                <w:rFonts w:hint="eastAsia" w:eastAsia="宋体"/>
                <w:color w:val="auto"/>
                <w:szCs w:val="21"/>
                <w:lang w:eastAsia="zh-CN"/>
              </w:rPr>
            </w:pPr>
            <w:r>
              <w:rPr>
                <w:rFonts w:hint="eastAsia"/>
                <w:color w:val="auto"/>
                <w:szCs w:val="21"/>
                <w:lang w:eastAsia="zh-CN"/>
              </w:rPr>
              <w:t>纺织染整工业水污染物排放标准》（GB4287－2012）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88" w:type="dxa"/>
            <w:noWrap w:val="0"/>
            <w:vAlign w:val="center"/>
          </w:tcPr>
          <w:p>
            <w:pPr>
              <w:adjustRightInd w:val="0"/>
              <w:snapToGrid w:val="0"/>
              <w:jc w:val="center"/>
              <w:rPr>
                <w:color w:val="auto"/>
                <w:szCs w:val="21"/>
              </w:rPr>
            </w:pPr>
            <w:r>
              <w:rPr>
                <w:color w:val="auto"/>
                <w:szCs w:val="21"/>
              </w:rPr>
              <w:t>声环境</w:t>
            </w:r>
          </w:p>
        </w:tc>
        <w:tc>
          <w:tcPr>
            <w:tcW w:w="1755"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生产设备</w:t>
            </w:r>
          </w:p>
        </w:tc>
        <w:tc>
          <w:tcPr>
            <w:tcW w:w="1710" w:type="dxa"/>
            <w:noWrap w:val="0"/>
            <w:vAlign w:val="center"/>
          </w:tcPr>
          <w:p>
            <w:pPr>
              <w:adjustRightInd w:val="0"/>
              <w:snapToGrid w:val="0"/>
              <w:jc w:val="center"/>
              <w:rPr>
                <w:color w:val="auto"/>
                <w:szCs w:val="21"/>
              </w:rPr>
            </w:pPr>
            <w:r>
              <w:rPr>
                <w:color w:val="auto"/>
                <w:szCs w:val="21"/>
              </w:rPr>
              <w:t>噪声</w:t>
            </w:r>
          </w:p>
        </w:tc>
        <w:tc>
          <w:tcPr>
            <w:tcW w:w="1869" w:type="dxa"/>
            <w:noWrap w:val="0"/>
            <w:vAlign w:val="center"/>
          </w:tcPr>
          <w:p>
            <w:pPr>
              <w:adjustRightInd w:val="0"/>
              <w:snapToGrid w:val="0"/>
              <w:jc w:val="center"/>
              <w:rPr>
                <w:color w:val="auto"/>
                <w:szCs w:val="21"/>
              </w:rPr>
            </w:pPr>
            <w:r>
              <w:rPr>
                <w:color w:val="auto"/>
                <w:szCs w:val="21"/>
              </w:rPr>
              <w:t>隔声、减振等</w:t>
            </w:r>
          </w:p>
        </w:tc>
        <w:tc>
          <w:tcPr>
            <w:tcW w:w="2087" w:type="dxa"/>
            <w:noWrap w:val="0"/>
            <w:vAlign w:val="center"/>
          </w:tcPr>
          <w:p>
            <w:pPr>
              <w:wordWrap w:val="0"/>
              <w:adjustRightInd w:val="0"/>
              <w:snapToGrid w:val="0"/>
              <w:rPr>
                <w:rFonts w:hint="default" w:eastAsia="宋体"/>
                <w:color w:val="auto"/>
                <w:szCs w:val="21"/>
                <w:lang w:val="en-US" w:eastAsia="zh-CN"/>
              </w:rPr>
            </w:pPr>
            <w:r>
              <w:rPr>
                <w:rFonts w:hint="eastAsia"/>
                <w:color w:val="auto"/>
                <w:szCs w:val="21"/>
                <w:lang w:eastAsia="zh-CN"/>
              </w:rPr>
              <w:t>东、南、西侧</w:t>
            </w:r>
            <w:r>
              <w:rPr>
                <w:rFonts w:hint="eastAsia"/>
                <w:color w:val="auto"/>
                <w:szCs w:val="21"/>
              </w:rPr>
              <w:t>《工业企业厂界环境噪声排放标准》（GB12348-2008）</w:t>
            </w:r>
            <w:r>
              <w:rPr>
                <w:rFonts w:hint="eastAsia"/>
                <w:color w:val="auto"/>
                <w:szCs w:val="21"/>
                <w:lang w:val="en-US" w:eastAsia="zh-CN"/>
              </w:rPr>
              <w:t>3</w:t>
            </w:r>
            <w:r>
              <w:rPr>
                <w:rFonts w:hint="eastAsia"/>
                <w:color w:val="auto"/>
                <w:szCs w:val="21"/>
              </w:rPr>
              <w:t>类</w:t>
            </w:r>
            <w:r>
              <w:rPr>
                <w:rFonts w:hint="eastAsia"/>
                <w:color w:val="auto"/>
                <w:szCs w:val="21"/>
                <w:lang w:eastAsia="zh-CN"/>
              </w:rPr>
              <w:t>，北侧执行</w:t>
            </w:r>
            <w:r>
              <w:rPr>
                <w:rFonts w:hint="eastAsia"/>
                <w:color w:val="auto"/>
                <w:szCs w:val="21"/>
                <w:lang w:val="en-US" w:eastAsia="zh-CN"/>
              </w:rPr>
              <w:t>4类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88" w:type="dxa"/>
            <w:noWrap w:val="0"/>
            <w:vAlign w:val="center"/>
          </w:tcPr>
          <w:p>
            <w:pPr>
              <w:adjustRightInd w:val="0"/>
              <w:snapToGrid w:val="0"/>
              <w:jc w:val="center"/>
              <w:rPr>
                <w:color w:val="auto"/>
                <w:szCs w:val="21"/>
              </w:rPr>
            </w:pPr>
            <w:r>
              <w:rPr>
                <w:color w:val="auto"/>
                <w:szCs w:val="21"/>
              </w:rPr>
              <w:t>电磁辐射</w:t>
            </w:r>
          </w:p>
        </w:tc>
        <w:tc>
          <w:tcPr>
            <w:tcW w:w="1755" w:type="dxa"/>
            <w:noWrap w:val="0"/>
            <w:vAlign w:val="center"/>
          </w:tcPr>
          <w:p>
            <w:pPr>
              <w:adjustRightInd w:val="0"/>
              <w:snapToGrid w:val="0"/>
              <w:jc w:val="center"/>
              <w:rPr>
                <w:color w:val="auto"/>
                <w:szCs w:val="21"/>
              </w:rPr>
            </w:pPr>
            <w:r>
              <w:rPr>
                <w:rFonts w:hint="eastAsia"/>
                <w:color w:val="auto"/>
                <w:szCs w:val="21"/>
              </w:rPr>
              <w:t>/</w:t>
            </w:r>
          </w:p>
        </w:tc>
        <w:tc>
          <w:tcPr>
            <w:tcW w:w="1710" w:type="dxa"/>
            <w:noWrap w:val="0"/>
            <w:vAlign w:val="center"/>
          </w:tcPr>
          <w:p>
            <w:pPr>
              <w:adjustRightInd w:val="0"/>
              <w:snapToGrid w:val="0"/>
              <w:jc w:val="center"/>
              <w:rPr>
                <w:color w:val="auto"/>
                <w:szCs w:val="21"/>
              </w:rPr>
            </w:pPr>
            <w:r>
              <w:rPr>
                <w:rFonts w:hint="eastAsia"/>
                <w:color w:val="auto"/>
                <w:szCs w:val="21"/>
              </w:rPr>
              <w:t>/</w:t>
            </w:r>
          </w:p>
        </w:tc>
        <w:tc>
          <w:tcPr>
            <w:tcW w:w="1869" w:type="dxa"/>
            <w:noWrap w:val="0"/>
            <w:vAlign w:val="center"/>
          </w:tcPr>
          <w:p>
            <w:pPr>
              <w:adjustRightInd w:val="0"/>
              <w:snapToGrid w:val="0"/>
              <w:jc w:val="center"/>
              <w:rPr>
                <w:color w:val="auto"/>
                <w:szCs w:val="21"/>
              </w:rPr>
            </w:pPr>
            <w:r>
              <w:rPr>
                <w:rFonts w:hint="eastAsia"/>
                <w:color w:val="auto"/>
                <w:szCs w:val="21"/>
              </w:rPr>
              <w:t>/</w:t>
            </w:r>
          </w:p>
        </w:tc>
        <w:tc>
          <w:tcPr>
            <w:tcW w:w="2087" w:type="dxa"/>
            <w:noWrap w:val="0"/>
            <w:vAlign w:val="center"/>
          </w:tcPr>
          <w:p>
            <w:pPr>
              <w:adjustRightInd w:val="0"/>
              <w:snapToGrid w:val="0"/>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88" w:type="dxa"/>
            <w:noWrap w:val="0"/>
            <w:vAlign w:val="center"/>
          </w:tcPr>
          <w:p>
            <w:pPr>
              <w:adjustRightInd w:val="0"/>
              <w:snapToGrid w:val="0"/>
              <w:jc w:val="center"/>
              <w:rPr>
                <w:color w:val="auto"/>
                <w:szCs w:val="21"/>
              </w:rPr>
            </w:pPr>
            <w:r>
              <w:rPr>
                <w:color w:val="auto"/>
                <w:szCs w:val="21"/>
              </w:rPr>
              <w:t>固体废物</w:t>
            </w:r>
          </w:p>
        </w:tc>
        <w:tc>
          <w:tcPr>
            <w:tcW w:w="742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color w:val="auto"/>
                <w:szCs w:val="21"/>
              </w:rPr>
            </w:pPr>
            <w:r>
              <w:rPr>
                <w:rFonts w:hint="eastAsia" w:ascii="宋体" w:hAnsi="宋体"/>
                <w:color w:val="auto"/>
                <w:szCs w:val="21"/>
                <w:lang w:eastAsia="zh-CN"/>
              </w:rPr>
              <w:t>废纱、不合格品收集后外售</w:t>
            </w:r>
            <w:r>
              <w:rPr>
                <w:rFonts w:hint="eastAsia" w:ascii="宋体" w:hAnsi="宋体"/>
                <w:color w:val="auto"/>
                <w:szCs w:val="21"/>
                <w:lang w:val="en-US" w:eastAsia="zh-CN"/>
              </w:rPr>
              <w:t>；废包装桶、污泥、废水在线监测废液交由危险废物委托有资质的单位处置</w:t>
            </w:r>
            <w:r>
              <w:rPr>
                <w:rFonts w:hint="eastAsia"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488" w:type="dxa"/>
            <w:noWrap w:val="0"/>
            <w:vAlign w:val="center"/>
          </w:tcPr>
          <w:p>
            <w:pPr>
              <w:adjustRightInd w:val="0"/>
              <w:snapToGrid w:val="0"/>
              <w:jc w:val="center"/>
              <w:rPr>
                <w:color w:val="auto"/>
                <w:szCs w:val="21"/>
              </w:rPr>
            </w:pPr>
            <w:r>
              <w:rPr>
                <w:color w:val="auto"/>
                <w:szCs w:val="21"/>
              </w:rPr>
              <w:t>土壤及地下水</w:t>
            </w:r>
          </w:p>
          <w:p>
            <w:pPr>
              <w:adjustRightInd w:val="0"/>
              <w:snapToGrid w:val="0"/>
              <w:jc w:val="center"/>
              <w:rPr>
                <w:color w:val="auto"/>
                <w:szCs w:val="21"/>
              </w:rPr>
            </w:pPr>
            <w:r>
              <w:rPr>
                <w:color w:val="auto"/>
                <w:szCs w:val="21"/>
              </w:rPr>
              <w:t>污染防治措施</w:t>
            </w:r>
          </w:p>
        </w:tc>
        <w:tc>
          <w:tcPr>
            <w:tcW w:w="742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color w:val="auto"/>
                <w:szCs w:val="21"/>
              </w:rPr>
            </w:pPr>
            <w:r>
              <w:rPr>
                <w:rFonts w:hint="eastAsia" w:ascii="宋体" w:hAnsi="宋体"/>
                <w:color w:val="auto"/>
                <w:szCs w:val="21"/>
              </w:rPr>
              <w:t>①</w:t>
            </w:r>
            <w:r>
              <w:rPr>
                <w:rFonts w:hint="eastAsia"/>
                <w:color w:val="auto"/>
                <w:szCs w:val="21"/>
              </w:rPr>
              <w:t>地下水：项目所有物料输送管道必须采取防渗措施；根据项目场地天然包气带防污性能、污染控制难易程度和污染物特性对全厂进行分区防控；建立地下水环境监测管理体系。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color w:val="auto"/>
                <w:szCs w:val="21"/>
              </w:rPr>
            </w:pPr>
            <w:r>
              <w:rPr>
                <w:rFonts w:hint="eastAsia" w:ascii="宋体" w:hAnsi="宋体"/>
                <w:color w:val="auto"/>
                <w:szCs w:val="21"/>
              </w:rPr>
              <w:t>②</w:t>
            </w:r>
            <w:r>
              <w:rPr>
                <w:rFonts w:hint="eastAsia"/>
                <w:color w:val="auto"/>
                <w:szCs w:val="21"/>
              </w:rPr>
              <w:t>土壤：加强环保管理，确保污染物达标排放；固废储存场所等均应做好防渗措施；建立土壤污染监测系统。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8" w:type="dxa"/>
            <w:noWrap w:val="0"/>
            <w:vAlign w:val="center"/>
          </w:tcPr>
          <w:p>
            <w:pPr>
              <w:adjustRightInd w:val="0"/>
              <w:snapToGrid w:val="0"/>
              <w:jc w:val="center"/>
              <w:rPr>
                <w:color w:val="auto"/>
                <w:szCs w:val="21"/>
              </w:rPr>
            </w:pPr>
            <w:r>
              <w:rPr>
                <w:color w:val="auto"/>
                <w:szCs w:val="21"/>
              </w:rPr>
              <w:t>生态保护措施</w:t>
            </w:r>
          </w:p>
        </w:tc>
        <w:tc>
          <w:tcPr>
            <w:tcW w:w="7421" w:type="dxa"/>
            <w:gridSpan w:val="4"/>
            <w:noWrap w:val="0"/>
            <w:vAlign w:val="center"/>
          </w:tcPr>
          <w:p>
            <w:pPr>
              <w:adjustRightInd w:val="0"/>
              <w:snapToGrid w:val="0"/>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88" w:type="dxa"/>
            <w:noWrap w:val="0"/>
            <w:vAlign w:val="center"/>
          </w:tcPr>
          <w:p>
            <w:pPr>
              <w:adjustRightInd w:val="0"/>
              <w:snapToGrid w:val="0"/>
              <w:jc w:val="center"/>
              <w:rPr>
                <w:color w:val="auto"/>
                <w:szCs w:val="21"/>
              </w:rPr>
            </w:pPr>
            <w:r>
              <w:rPr>
                <w:color w:val="auto"/>
                <w:szCs w:val="21"/>
              </w:rPr>
              <w:t>环境风险</w:t>
            </w:r>
          </w:p>
          <w:p>
            <w:pPr>
              <w:adjustRightInd w:val="0"/>
              <w:snapToGrid w:val="0"/>
              <w:jc w:val="center"/>
              <w:rPr>
                <w:color w:val="auto"/>
                <w:spacing w:val="-8"/>
                <w:szCs w:val="21"/>
              </w:rPr>
            </w:pPr>
            <w:r>
              <w:rPr>
                <w:color w:val="auto"/>
                <w:szCs w:val="21"/>
              </w:rPr>
              <w:t>防范措施</w:t>
            </w:r>
          </w:p>
        </w:tc>
        <w:tc>
          <w:tcPr>
            <w:tcW w:w="742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color w:val="auto"/>
                <w:szCs w:val="21"/>
              </w:rPr>
            </w:pPr>
            <w:r>
              <w:rPr>
                <w:rFonts w:hint="eastAsia" w:ascii="宋体" w:hAnsi="宋体"/>
                <w:color w:val="auto"/>
                <w:szCs w:val="21"/>
              </w:rPr>
              <w:t>①</w:t>
            </w:r>
            <w:r>
              <w:rPr>
                <w:rFonts w:hint="eastAsia"/>
                <w:color w:val="auto"/>
                <w:szCs w:val="21"/>
              </w:rPr>
              <w:t>加强环保宣传教育，提高全体人员的环保意识</w:t>
            </w:r>
            <w:r>
              <w:rPr>
                <w:color w:val="auto"/>
                <w:szCs w:val="21"/>
              </w:rPr>
              <w:t>；</w:t>
            </w:r>
            <w:r>
              <w:rPr>
                <w:rFonts w:hint="eastAsia" w:ascii="宋体" w:hAnsi="宋体"/>
                <w:color w:val="auto"/>
                <w:szCs w:val="21"/>
              </w:rPr>
              <w:t>②</w:t>
            </w:r>
            <w:r>
              <w:rPr>
                <w:rFonts w:hint="eastAsia"/>
                <w:color w:val="auto"/>
                <w:szCs w:val="21"/>
              </w:rPr>
              <w:t>制定一整套严格的安全生产操作规章制度，做好日常检测；</w:t>
            </w:r>
            <w:r>
              <w:rPr>
                <w:rFonts w:hint="eastAsia" w:ascii="宋体" w:hAnsi="宋体"/>
                <w:color w:val="auto"/>
                <w:szCs w:val="21"/>
              </w:rPr>
              <w:t>③</w:t>
            </w:r>
            <w:r>
              <w:rPr>
                <w:rFonts w:hint="eastAsia"/>
                <w:color w:val="auto"/>
                <w:szCs w:val="21"/>
              </w:rPr>
              <w:t>明确部门、个人的职责，按计划落实到个人。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12" w:hRule="atLeast"/>
          <w:jc w:val="center"/>
        </w:trPr>
        <w:tc>
          <w:tcPr>
            <w:tcW w:w="1488" w:type="dxa"/>
            <w:noWrap w:val="0"/>
            <w:vAlign w:val="center"/>
          </w:tcPr>
          <w:p>
            <w:pPr>
              <w:adjustRightInd w:val="0"/>
              <w:snapToGrid w:val="0"/>
              <w:jc w:val="center"/>
              <w:rPr>
                <w:color w:val="auto"/>
                <w:spacing w:val="-8"/>
                <w:szCs w:val="21"/>
              </w:rPr>
            </w:pPr>
            <w:r>
              <w:rPr>
                <w:color w:val="auto"/>
                <w:spacing w:val="-8"/>
                <w:szCs w:val="21"/>
              </w:rPr>
              <w:t>其他环境</w:t>
            </w:r>
          </w:p>
          <w:p>
            <w:pPr>
              <w:adjustRightInd w:val="0"/>
              <w:snapToGrid w:val="0"/>
              <w:jc w:val="center"/>
              <w:rPr>
                <w:color w:val="auto"/>
                <w:spacing w:val="-8"/>
                <w:szCs w:val="21"/>
              </w:rPr>
            </w:pPr>
            <w:r>
              <w:rPr>
                <w:color w:val="auto"/>
                <w:spacing w:val="-8"/>
                <w:szCs w:val="21"/>
              </w:rPr>
              <w:t>管理要求</w:t>
            </w:r>
          </w:p>
        </w:tc>
        <w:tc>
          <w:tcPr>
            <w:tcW w:w="742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center"/>
              <w:textAlignment w:val="auto"/>
              <w:rPr>
                <w:rFonts w:ascii="宋体" w:hAnsi="宋体" w:cs="宋体"/>
                <w:szCs w:val="21"/>
              </w:rPr>
            </w:pPr>
            <w:r>
              <w:rPr>
                <w:rFonts w:ascii="宋体" w:hAnsi="宋体" w:cs="宋体"/>
                <w:szCs w:val="21"/>
              </w:rPr>
              <w:t>①</w:t>
            </w:r>
            <w:r>
              <w:rPr>
                <w:rFonts w:hint="eastAsia" w:ascii="宋体" w:hAnsi="宋体" w:cs="宋体"/>
                <w:szCs w:val="21"/>
              </w:rPr>
              <w:t>根据《固定污染测源排污许可分类管理名录（2019年版）》，本项目实行排污许可登记管理，建设单位应在排放污染物之前按照国家规定的程序和要求向环保部门办理排污许可手续，做到持证排污、按证排污。环境保护设施必须与主体工程同时设计、同时施工、同时投产使用，按照《建设项目竣工环境保护验收暂行办法》办理环境保护设施竣工验收，经验收合格方可投入生产。</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szCs w:val="21"/>
              </w:rPr>
            </w:pPr>
            <w:r>
              <w:rPr>
                <w:rFonts w:ascii="宋体" w:hAnsi="宋体" w:cs="宋体"/>
                <w:szCs w:val="21"/>
              </w:rPr>
              <w:t xml:space="preserve">②健全污染治理设施管理制度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szCs w:val="21"/>
              </w:rPr>
            </w:pPr>
            <w:r>
              <w:rPr>
                <w:rFonts w:ascii="宋体" w:hAnsi="宋体" w:cs="宋体"/>
                <w:szCs w:val="21"/>
              </w:rPr>
              <w:t>建立健全污染治理设施的运行、检修、 维护保养的作业规程和管理制度，将污染治理设施的管理与生产经营管理一同纳入公司日常管理工作的范畴，落实责任人，建立管理</w:t>
            </w:r>
            <w:r>
              <w:rPr>
                <w:rFonts w:hint="eastAsia" w:ascii="宋体" w:hAnsi="宋体" w:cs="宋体"/>
                <w:szCs w:val="21"/>
              </w:rPr>
              <w:t>台账</w:t>
            </w:r>
            <w:r>
              <w:rPr>
                <w:rFonts w:ascii="宋体" w:hAnsi="宋体" w:cs="宋体"/>
                <w:szCs w:val="21"/>
              </w:rPr>
              <w:t>。避免擅自拆除或闲置现有的污染处理设施现象的发生，严禁故意不正常使用污染处理设施。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szCs w:val="21"/>
              </w:rPr>
            </w:pPr>
            <w:r>
              <w:rPr>
                <w:rFonts w:ascii="宋体" w:hAnsi="宋体" w:cs="宋体"/>
                <w:szCs w:val="21"/>
              </w:rPr>
              <w:t>③建立环境目标管理责任制和奖惩条例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szCs w:val="21"/>
              </w:rPr>
            </w:pPr>
            <w:r>
              <w:rPr>
                <w:rFonts w:ascii="宋体" w:hAnsi="宋体" w:cs="宋体"/>
                <w:szCs w:val="21"/>
              </w:rPr>
              <w:t xml:space="preserve">建立并实施各级人员的环境目标管理责任制，把环境目标责任完成情况与奖惩制度结合起来。设置环境保护奖惩条例，对爱护环保设施、节能降耗、减少污染物排放、改善环境绩效者给予适当的奖励；对环保观念淡薄，不按环保要求管理和操作，造成环保设施非正常损坏、发生污染事故以及浪费资源者予以相应的处罚。在公司内部形成注重环境管理，持续改进环境绩效的氛围。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center"/>
              <w:textAlignment w:val="auto"/>
              <w:rPr>
                <w:rFonts w:hint="eastAsia" w:eastAsia="宋体"/>
                <w:color w:val="auto"/>
                <w:szCs w:val="21"/>
                <w:lang w:eastAsia="zh-CN"/>
              </w:rPr>
            </w:pPr>
            <w:r>
              <w:rPr>
                <w:rFonts w:ascii="宋体" w:hAnsi="宋体" w:cs="宋体"/>
                <w:szCs w:val="21"/>
              </w:rPr>
              <w:t>④企业为固体废物污染防治的责任主体，应建立风险管理及应急救援体系，执行环境监测计划、转移联单管理制度及国家和省有关转移管理的相关规定、处置过程安全操作规程、人员培训考核制度、档案管理制度、处置全过程管理制度</w:t>
            </w:r>
            <w:r>
              <w:rPr>
                <w:rFonts w:hint="eastAsia" w:ascii="宋体" w:hAnsi="宋体" w:cs="宋体"/>
                <w:szCs w:val="21"/>
                <w:lang w:eastAsia="zh-CN"/>
              </w:rPr>
              <w:t>。</w:t>
            </w:r>
          </w:p>
        </w:tc>
      </w:tr>
    </w:tbl>
    <w:p>
      <w:pPr>
        <w:rPr>
          <w:color w:val="FF0000"/>
        </w:rPr>
        <w:sectPr>
          <w:pgSz w:w="11906" w:h="16838"/>
          <w:pgMar w:top="1701" w:right="1531" w:bottom="1701" w:left="1531" w:header="851" w:footer="794" w:gutter="0"/>
          <w:pgBorders>
            <w:top w:val="none" w:sz="0" w:space="0"/>
            <w:left w:val="none" w:sz="0" w:space="0"/>
            <w:bottom w:val="none" w:sz="0" w:space="0"/>
            <w:right w:val="none" w:sz="0" w:space="0"/>
          </w:pgBorders>
          <w:pgNumType w:fmt="numberInDash"/>
          <w:cols w:space="720" w:num="1"/>
          <w:docGrid w:type="lines" w:linePitch="312" w:charSpace="0"/>
        </w:sectPr>
      </w:pPr>
    </w:p>
    <w:p>
      <w:pPr>
        <w:spacing w:before="156" w:beforeLines="50" w:after="156" w:afterLines="50"/>
        <w:jc w:val="center"/>
        <w:outlineLvl w:val="0"/>
        <w:rPr>
          <w:rFonts w:hint="eastAsia" w:ascii="黑体" w:hAnsi="黑体" w:eastAsia="黑体"/>
          <w:color w:val="auto"/>
          <w:sz w:val="30"/>
          <w:szCs w:val="30"/>
        </w:rPr>
      </w:pPr>
      <w:r>
        <w:rPr>
          <w:rFonts w:hint="eastAsia" w:ascii="黑体" w:hAnsi="黑体" w:eastAsia="黑体"/>
          <w:color w:val="auto"/>
          <w:sz w:val="30"/>
          <w:szCs w:val="30"/>
        </w:rPr>
        <w:t>六、结论</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8" w:hRule="atLeast"/>
          <w:jc w:val="center"/>
        </w:trPr>
        <w:tc>
          <w:tcPr>
            <w:tcW w:w="8958" w:type="dxa"/>
            <w:noWrap w:val="0"/>
            <w:vAlign w:val="top"/>
          </w:tcPr>
          <w:p>
            <w:pPr>
              <w:adjustRightInd w:val="0"/>
              <w:snapToGrid w:val="0"/>
              <w:spacing w:line="500" w:lineRule="exact"/>
              <w:ind w:firstLine="422" w:firstLineChars="200"/>
              <w:rPr>
                <w:rFonts w:hint="eastAsia"/>
                <w:b/>
                <w:bCs/>
                <w:color w:val="auto"/>
                <w:szCs w:val="21"/>
              </w:rPr>
            </w:pPr>
            <w:r>
              <w:rPr>
                <w:rFonts w:hint="eastAsia"/>
                <w:b/>
                <w:bCs/>
                <w:color w:val="auto"/>
                <w:szCs w:val="21"/>
              </w:rPr>
              <w:t>结论：</w:t>
            </w:r>
          </w:p>
          <w:p>
            <w:pPr>
              <w:adjustRightInd w:val="0"/>
              <w:snapToGrid w:val="0"/>
              <w:spacing w:line="500" w:lineRule="exact"/>
              <w:ind w:firstLine="420" w:firstLineChars="200"/>
              <w:rPr>
                <w:rFonts w:hint="eastAsia"/>
                <w:color w:val="auto"/>
                <w:szCs w:val="21"/>
              </w:rPr>
            </w:pPr>
            <w:r>
              <w:rPr>
                <w:color w:val="auto"/>
                <w:szCs w:val="21"/>
              </w:rPr>
              <w:t>综上所述，项目符合国家相关产业政策，选址合理，符合清洁生产要求，污染防治措施可行，在认真落实各项环境污染治理和环境管理措施的前提下，各污染物均能实现达标排放且环境影响较小；企业必须切实落实事故防范措施杜绝事故的发生，同时建立完善的事故应急预案，将事故对环境的影响降至最小。从环保角度看，</w:t>
            </w:r>
            <w:r>
              <w:rPr>
                <w:rFonts w:hint="eastAsia"/>
                <w:color w:val="auto"/>
                <w:szCs w:val="21"/>
                <w:lang w:val="en-US" w:eastAsia="zh-CN"/>
              </w:rPr>
              <w:t>南通春秋时装有限公司</w:t>
            </w:r>
            <w:r>
              <w:rPr>
                <w:color w:val="auto"/>
                <w:szCs w:val="21"/>
              </w:rPr>
              <w:t>在</w:t>
            </w:r>
            <w:r>
              <w:rPr>
                <w:rFonts w:hint="eastAsia"/>
                <w:color w:val="auto"/>
                <w:szCs w:val="21"/>
              </w:rPr>
              <w:t>启东市</w:t>
            </w:r>
            <w:r>
              <w:rPr>
                <w:rFonts w:hint="eastAsia"/>
                <w:color w:val="auto"/>
                <w:szCs w:val="21"/>
                <w:lang w:eastAsia="zh-CN"/>
              </w:rPr>
              <w:t>启东经济开发区</w:t>
            </w:r>
            <w:r>
              <w:rPr>
                <w:rFonts w:hint="eastAsia"/>
                <w:color w:val="auto"/>
                <w:szCs w:val="21"/>
              </w:rPr>
              <w:t>人民西路 3333号</w:t>
            </w:r>
            <w:r>
              <w:rPr>
                <w:color w:val="auto"/>
                <w:szCs w:val="21"/>
              </w:rPr>
              <w:t>建设“</w:t>
            </w:r>
            <w:r>
              <w:rPr>
                <w:rFonts w:hint="eastAsia"/>
                <w:color w:val="auto"/>
                <w:szCs w:val="21"/>
              </w:rPr>
              <w:t>年生产</w:t>
            </w:r>
            <w:r>
              <w:rPr>
                <w:rFonts w:hint="eastAsia"/>
                <w:color w:val="auto"/>
                <w:szCs w:val="21"/>
                <w:lang w:val="en-US" w:eastAsia="zh-CN"/>
              </w:rPr>
              <w:t>20万件服装</w:t>
            </w:r>
            <w:r>
              <w:rPr>
                <w:rFonts w:hint="eastAsia"/>
                <w:color w:val="auto"/>
                <w:szCs w:val="21"/>
              </w:rPr>
              <w:t>项目</w:t>
            </w:r>
            <w:r>
              <w:rPr>
                <w:color w:val="auto"/>
                <w:szCs w:val="21"/>
              </w:rPr>
              <w:t>”具有环境可行性。</w:t>
            </w:r>
          </w:p>
          <w:p>
            <w:pPr>
              <w:adjustRightInd w:val="0"/>
              <w:snapToGrid w:val="0"/>
              <w:spacing w:line="500" w:lineRule="exact"/>
              <w:ind w:firstLine="420" w:firstLineChars="200"/>
              <w:rPr>
                <w:rFonts w:hint="eastAsia"/>
                <w:color w:val="auto"/>
                <w:szCs w:val="21"/>
              </w:rPr>
            </w:pPr>
          </w:p>
          <w:p>
            <w:pPr>
              <w:adjustRightInd w:val="0"/>
              <w:snapToGrid w:val="0"/>
              <w:spacing w:line="500" w:lineRule="exact"/>
              <w:ind w:firstLine="420" w:firstLineChars="200"/>
              <w:rPr>
                <w:rFonts w:hint="eastAsia"/>
                <w:color w:val="auto"/>
                <w:szCs w:val="21"/>
              </w:rPr>
            </w:pPr>
          </w:p>
          <w:p>
            <w:pPr>
              <w:adjustRightInd w:val="0"/>
              <w:snapToGrid w:val="0"/>
              <w:spacing w:line="500" w:lineRule="exact"/>
              <w:ind w:firstLine="420" w:firstLineChars="200"/>
              <w:rPr>
                <w:rFonts w:hint="eastAsia"/>
                <w:color w:val="auto"/>
                <w:szCs w:val="21"/>
              </w:rPr>
            </w:pPr>
          </w:p>
          <w:p>
            <w:pPr>
              <w:adjustRightInd w:val="0"/>
              <w:snapToGrid w:val="0"/>
              <w:spacing w:line="500" w:lineRule="exact"/>
              <w:ind w:firstLine="420" w:firstLineChars="200"/>
              <w:rPr>
                <w:rFonts w:hint="eastAsia"/>
                <w:color w:val="auto"/>
                <w:szCs w:val="21"/>
              </w:rPr>
            </w:pPr>
          </w:p>
          <w:p>
            <w:pPr>
              <w:adjustRightInd w:val="0"/>
              <w:snapToGrid w:val="0"/>
              <w:spacing w:line="500" w:lineRule="exact"/>
              <w:ind w:firstLine="420" w:firstLineChars="200"/>
              <w:rPr>
                <w:rFonts w:hint="eastAsia"/>
                <w:color w:val="auto"/>
                <w:szCs w:val="21"/>
              </w:rPr>
            </w:pPr>
          </w:p>
          <w:p>
            <w:pPr>
              <w:adjustRightInd w:val="0"/>
              <w:snapToGrid w:val="0"/>
              <w:spacing w:line="500" w:lineRule="exact"/>
              <w:ind w:firstLine="420" w:firstLineChars="200"/>
              <w:rPr>
                <w:rFonts w:hint="eastAsia"/>
                <w:color w:val="auto"/>
                <w:szCs w:val="21"/>
              </w:rPr>
            </w:pPr>
          </w:p>
          <w:p>
            <w:pPr>
              <w:adjustRightInd w:val="0"/>
              <w:snapToGrid w:val="0"/>
              <w:spacing w:line="500" w:lineRule="exact"/>
              <w:ind w:firstLine="420" w:firstLineChars="200"/>
              <w:rPr>
                <w:rFonts w:hint="eastAsia"/>
                <w:color w:val="auto"/>
                <w:szCs w:val="21"/>
              </w:rPr>
            </w:pPr>
          </w:p>
          <w:p>
            <w:pPr>
              <w:adjustRightInd w:val="0"/>
              <w:snapToGrid w:val="0"/>
              <w:spacing w:line="500" w:lineRule="exact"/>
              <w:ind w:firstLine="420" w:firstLineChars="200"/>
              <w:rPr>
                <w:rFonts w:hint="eastAsia"/>
                <w:color w:val="auto"/>
                <w:szCs w:val="21"/>
              </w:rPr>
            </w:pPr>
          </w:p>
          <w:p>
            <w:pPr>
              <w:adjustRightInd w:val="0"/>
              <w:snapToGrid w:val="0"/>
              <w:spacing w:line="500" w:lineRule="exact"/>
              <w:ind w:firstLine="420" w:firstLineChars="200"/>
              <w:rPr>
                <w:color w:val="auto"/>
                <w:szCs w:val="21"/>
              </w:rPr>
            </w:pPr>
          </w:p>
        </w:tc>
      </w:tr>
    </w:tbl>
    <w:p>
      <w:pPr>
        <w:pStyle w:val="2"/>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pStyle w:val="10"/>
        <w:adjustRightInd w:val="0"/>
        <w:snapToGrid w:val="0"/>
        <w:spacing w:before="0" w:beforeAutospacing="0" w:after="0" w:afterAutospacing="0"/>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附表</w:t>
      </w:r>
    </w:p>
    <w:p>
      <w:pPr>
        <w:pStyle w:val="10"/>
        <w:adjustRightInd w:val="0"/>
        <w:snapToGrid w:val="0"/>
        <w:spacing w:before="0" w:beforeAutospacing="0" w:after="0" w:afterAutospacing="0"/>
        <w:jc w:val="center"/>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w:t>
      </w:r>
      <w:r>
        <w:rPr>
          <w:rFonts w:hint="eastAsia" w:ascii="方正小标宋_GBK" w:hAnsi="黑体" w:eastAsia="方正小标宋_GBK" w:cs="Times New Roman"/>
          <w:snapToGrid w:val="0"/>
          <w:color w:val="auto"/>
          <w:sz w:val="38"/>
          <w:szCs w:val="38"/>
        </w:rPr>
        <w:t>污染物排放量汇总</w:t>
      </w:r>
      <w:r>
        <w:rPr>
          <w:rFonts w:hint="eastAsia" w:ascii="方正小标宋_GBK" w:hAnsi="黑体" w:eastAsia="方正小标宋_GBK"/>
          <w:snapToGrid w:val="0"/>
          <w:color w:val="auto"/>
          <w:sz w:val="38"/>
          <w:szCs w:val="38"/>
        </w:rPr>
        <w:t>表</w:t>
      </w:r>
    </w:p>
    <w:tbl>
      <w:tblPr>
        <w:tblStyle w:val="11"/>
        <w:tblW w:w="143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833"/>
        <w:gridCol w:w="1563"/>
        <w:gridCol w:w="1505"/>
        <w:gridCol w:w="1559"/>
        <w:gridCol w:w="1559"/>
        <w:gridCol w:w="1985"/>
        <w:gridCol w:w="1842"/>
        <w:gridCol w:w="11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10" w:type="dxa"/>
            <w:tcBorders>
              <w:tl2br w:val="single" w:color="auto" w:sz="4" w:space="0"/>
            </w:tcBorders>
            <w:noWrap w:val="0"/>
            <w:tcMar>
              <w:left w:w="28" w:type="dxa"/>
              <w:right w:w="28" w:type="dxa"/>
            </w:tcMar>
            <w:vAlign w:val="center"/>
          </w:tcPr>
          <w:p>
            <w:pPr>
              <w:pStyle w:val="19"/>
              <w:jc w:val="right"/>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项目</w:t>
            </w:r>
          </w:p>
          <w:p>
            <w:pPr>
              <w:pStyle w:val="19"/>
              <w:jc w:val="left"/>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分类</w:t>
            </w:r>
          </w:p>
        </w:tc>
        <w:tc>
          <w:tcPr>
            <w:tcW w:w="1833" w:type="dxa"/>
            <w:noWrap w:val="0"/>
            <w:tcMar>
              <w:left w:w="28" w:type="dxa"/>
              <w:right w:w="28" w:type="dxa"/>
            </w:tcMar>
            <w:vAlign w:val="center"/>
          </w:tcPr>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污染物名称</w:t>
            </w:r>
          </w:p>
        </w:tc>
        <w:tc>
          <w:tcPr>
            <w:tcW w:w="1563" w:type="dxa"/>
            <w:noWrap w:val="0"/>
            <w:tcMar>
              <w:left w:w="28" w:type="dxa"/>
              <w:right w:w="28" w:type="dxa"/>
            </w:tcMar>
            <w:vAlign w:val="center"/>
          </w:tcPr>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现有工程</w:t>
            </w:r>
          </w:p>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排放量（固体废物产生量）</w:t>
            </w:r>
            <w:r>
              <w:rPr>
                <w:rFonts w:ascii="Times New Roman" w:hAnsi="Times New Roman" w:eastAsia="黑体"/>
                <w:snapToGrid w:val="0"/>
                <w:color w:val="auto"/>
                <w:spacing w:val="-6"/>
                <w:kern w:val="21"/>
                <w:sz w:val="24"/>
                <w:szCs w:val="24"/>
              </w:rPr>
              <w:fldChar w:fldCharType="begin"/>
            </w:r>
            <w:r>
              <w:rPr>
                <w:rFonts w:ascii="Times New Roman" w:hAnsi="Times New Roman" w:eastAsia="黑体"/>
                <w:snapToGrid w:val="0"/>
                <w:color w:val="auto"/>
                <w:spacing w:val="-6"/>
                <w:kern w:val="21"/>
                <w:sz w:val="24"/>
                <w:szCs w:val="24"/>
              </w:rPr>
              <w:instrText xml:space="preserve"> = 1 \* GB3 \* MERGEFORMAT </w:instrText>
            </w:r>
            <w:r>
              <w:rPr>
                <w:rFonts w:ascii="Times New Roman" w:hAnsi="Times New Roman" w:eastAsia="黑体"/>
                <w:snapToGrid w:val="0"/>
                <w:color w:val="auto"/>
                <w:spacing w:val="-6"/>
                <w:kern w:val="21"/>
                <w:sz w:val="24"/>
                <w:szCs w:val="24"/>
              </w:rPr>
              <w:fldChar w:fldCharType="separate"/>
            </w:r>
            <w:r>
              <w:rPr>
                <w:rFonts w:hint="eastAsia" w:ascii="宋体" w:hAnsi="宋体" w:cs="宋体"/>
                <w:color w:val="auto"/>
                <w:kern w:val="2"/>
                <w:sz w:val="24"/>
                <w:szCs w:val="24"/>
              </w:rPr>
              <w:t>①</w:t>
            </w:r>
            <w:r>
              <w:rPr>
                <w:rFonts w:ascii="Times New Roman" w:hAnsi="Times New Roman" w:eastAsia="黑体"/>
                <w:snapToGrid w:val="0"/>
                <w:color w:val="auto"/>
                <w:spacing w:val="-6"/>
                <w:kern w:val="21"/>
                <w:sz w:val="24"/>
                <w:szCs w:val="24"/>
              </w:rPr>
              <w:fldChar w:fldCharType="end"/>
            </w:r>
          </w:p>
        </w:tc>
        <w:tc>
          <w:tcPr>
            <w:tcW w:w="1505" w:type="dxa"/>
            <w:noWrap w:val="0"/>
            <w:tcMar>
              <w:left w:w="28" w:type="dxa"/>
              <w:right w:w="28" w:type="dxa"/>
            </w:tcMar>
            <w:vAlign w:val="center"/>
          </w:tcPr>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现有工程</w:t>
            </w:r>
          </w:p>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许可排放量</w:t>
            </w:r>
            <w:r>
              <w:rPr>
                <w:rFonts w:ascii="Times New Roman" w:hAnsi="Times New Roman" w:eastAsia="黑体"/>
                <w:snapToGrid w:val="0"/>
                <w:color w:val="auto"/>
                <w:spacing w:val="-6"/>
                <w:kern w:val="21"/>
                <w:sz w:val="24"/>
                <w:szCs w:val="24"/>
              </w:rPr>
              <w:fldChar w:fldCharType="begin"/>
            </w:r>
            <w:r>
              <w:rPr>
                <w:rFonts w:ascii="Times New Roman" w:hAnsi="Times New Roman" w:eastAsia="黑体"/>
                <w:snapToGrid w:val="0"/>
                <w:color w:val="auto"/>
                <w:spacing w:val="-6"/>
                <w:kern w:val="21"/>
                <w:sz w:val="24"/>
                <w:szCs w:val="24"/>
              </w:rPr>
              <w:instrText xml:space="preserve"> = 2 \* GB3 \* MERGEFORMAT </w:instrText>
            </w:r>
            <w:r>
              <w:rPr>
                <w:rFonts w:ascii="Times New Roman" w:hAnsi="Times New Roman" w:eastAsia="黑体"/>
                <w:snapToGrid w:val="0"/>
                <w:color w:val="auto"/>
                <w:spacing w:val="-6"/>
                <w:kern w:val="21"/>
                <w:sz w:val="24"/>
                <w:szCs w:val="24"/>
              </w:rPr>
              <w:fldChar w:fldCharType="separate"/>
            </w:r>
            <w:r>
              <w:rPr>
                <w:rFonts w:hint="eastAsia" w:ascii="宋体" w:hAnsi="宋体" w:cs="宋体"/>
                <w:snapToGrid w:val="0"/>
                <w:color w:val="auto"/>
                <w:spacing w:val="-6"/>
                <w:kern w:val="21"/>
                <w:sz w:val="24"/>
                <w:szCs w:val="24"/>
              </w:rPr>
              <w:t>②</w:t>
            </w:r>
            <w:r>
              <w:rPr>
                <w:rFonts w:ascii="Times New Roman" w:hAnsi="Times New Roman" w:eastAsia="黑体"/>
                <w:snapToGrid w:val="0"/>
                <w:color w:val="auto"/>
                <w:spacing w:val="-6"/>
                <w:kern w:val="21"/>
                <w:sz w:val="24"/>
                <w:szCs w:val="24"/>
              </w:rPr>
              <w:fldChar w:fldCharType="end"/>
            </w:r>
          </w:p>
        </w:tc>
        <w:tc>
          <w:tcPr>
            <w:tcW w:w="1559" w:type="dxa"/>
            <w:noWrap w:val="0"/>
            <w:tcMar>
              <w:left w:w="28" w:type="dxa"/>
              <w:right w:w="28" w:type="dxa"/>
            </w:tcMar>
            <w:vAlign w:val="center"/>
          </w:tcPr>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在建工程</w:t>
            </w:r>
          </w:p>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排放量（固体废物产生量）</w:t>
            </w:r>
            <w:r>
              <w:rPr>
                <w:rFonts w:ascii="Times New Roman" w:hAnsi="Times New Roman" w:eastAsia="黑体"/>
                <w:snapToGrid w:val="0"/>
                <w:color w:val="auto"/>
                <w:spacing w:val="-6"/>
                <w:kern w:val="21"/>
                <w:sz w:val="24"/>
                <w:szCs w:val="24"/>
              </w:rPr>
              <w:fldChar w:fldCharType="begin"/>
            </w:r>
            <w:r>
              <w:rPr>
                <w:rFonts w:ascii="Times New Roman" w:hAnsi="Times New Roman" w:eastAsia="黑体"/>
                <w:snapToGrid w:val="0"/>
                <w:color w:val="auto"/>
                <w:spacing w:val="-6"/>
                <w:kern w:val="21"/>
                <w:sz w:val="24"/>
                <w:szCs w:val="24"/>
              </w:rPr>
              <w:instrText xml:space="preserve"> = 3 \* GB3 \* MERGEFORMAT </w:instrText>
            </w:r>
            <w:r>
              <w:rPr>
                <w:rFonts w:ascii="Times New Roman" w:hAnsi="Times New Roman" w:eastAsia="黑体"/>
                <w:snapToGrid w:val="0"/>
                <w:color w:val="auto"/>
                <w:spacing w:val="-6"/>
                <w:kern w:val="21"/>
                <w:sz w:val="24"/>
                <w:szCs w:val="24"/>
              </w:rPr>
              <w:fldChar w:fldCharType="separate"/>
            </w:r>
            <w:r>
              <w:rPr>
                <w:rFonts w:hint="eastAsia" w:ascii="宋体" w:hAnsi="宋体" w:cs="宋体"/>
                <w:color w:val="auto"/>
                <w:kern w:val="2"/>
                <w:sz w:val="24"/>
                <w:szCs w:val="24"/>
              </w:rPr>
              <w:t>③</w:t>
            </w:r>
            <w:r>
              <w:rPr>
                <w:rFonts w:ascii="Times New Roman" w:hAnsi="Times New Roman" w:eastAsia="黑体"/>
                <w:snapToGrid w:val="0"/>
                <w:color w:val="auto"/>
                <w:spacing w:val="-6"/>
                <w:kern w:val="21"/>
                <w:sz w:val="24"/>
                <w:szCs w:val="24"/>
              </w:rPr>
              <w:fldChar w:fldCharType="end"/>
            </w:r>
          </w:p>
        </w:tc>
        <w:tc>
          <w:tcPr>
            <w:tcW w:w="1559" w:type="dxa"/>
            <w:noWrap w:val="0"/>
            <w:tcMar>
              <w:left w:w="28" w:type="dxa"/>
              <w:right w:w="28" w:type="dxa"/>
            </w:tcMar>
            <w:vAlign w:val="center"/>
          </w:tcPr>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本项目</w:t>
            </w:r>
          </w:p>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排放量（固体废物产生量）</w:t>
            </w:r>
            <w:r>
              <w:rPr>
                <w:rFonts w:ascii="Times New Roman" w:hAnsi="Times New Roman" w:eastAsia="黑体"/>
                <w:snapToGrid w:val="0"/>
                <w:color w:val="auto"/>
                <w:spacing w:val="-6"/>
                <w:kern w:val="21"/>
                <w:sz w:val="24"/>
                <w:szCs w:val="24"/>
              </w:rPr>
              <w:fldChar w:fldCharType="begin"/>
            </w:r>
            <w:r>
              <w:rPr>
                <w:rFonts w:ascii="Times New Roman" w:hAnsi="Times New Roman" w:eastAsia="黑体"/>
                <w:snapToGrid w:val="0"/>
                <w:color w:val="auto"/>
                <w:spacing w:val="-6"/>
                <w:kern w:val="21"/>
                <w:sz w:val="24"/>
                <w:szCs w:val="24"/>
              </w:rPr>
              <w:instrText xml:space="preserve"> = 4 \* GB3 \* MERGEFORMAT </w:instrText>
            </w:r>
            <w:r>
              <w:rPr>
                <w:rFonts w:ascii="Times New Roman" w:hAnsi="Times New Roman" w:eastAsia="黑体"/>
                <w:snapToGrid w:val="0"/>
                <w:color w:val="auto"/>
                <w:spacing w:val="-6"/>
                <w:kern w:val="21"/>
                <w:sz w:val="24"/>
                <w:szCs w:val="24"/>
              </w:rPr>
              <w:fldChar w:fldCharType="separate"/>
            </w:r>
            <w:r>
              <w:rPr>
                <w:rFonts w:hint="eastAsia" w:ascii="宋体" w:hAnsi="宋体" w:cs="宋体"/>
                <w:color w:val="auto"/>
                <w:kern w:val="2"/>
                <w:sz w:val="24"/>
                <w:szCs w:val="24"/>
              </w:rPr>
              <w:t>④</w:t>
            </w:r>
            <w:r>
              <w:rPr>
                <w:rFonts w:ascii="Times New Roman" w:hAnsi="Times New Roman" w:eastAsia="黑体"/>
                <w:snapToGrid w:val="0"/>
                <w:color w:val="auto"/>
                <w:spacing w:val="-6"/>
                <w:kern w:val="21"/>
                <w:sz w:val="24"/>
                <w:szCs w:val="24"/>
              </w:rPr>
              <w:fldChar w:fldCharType="end"/>
            </w:r>
          </w:p>
        </w:tc>
        <w:tc>
          <w:tcPr>
            <w:tcW w:w="1985" w:type="dxa"/>
            <w:noWrap w:val="0"/>
            <w:tcMar>
              <w:left w:w="28" w:type="dxa"/>
              <w:right w:w="28" w:type="dxa"/>
            </w:tcMar>
            <w:vAlign w:val="center"/>
          </w:tcPr>
          <w:p>
            <w:pPr>
              <w:pStyle w:val="19"/>
              <w:rPr>
                <w:rFonts w:ascii="Times New Roman" w:hAnsi="Times New Roman" w:eastAsia="黑体"/>
                <w:snapToGrid w:val="0"/>
                <w:color w:val="auto"/>
                <w:spacing w:val="-16"/>
                <w:kern w:val="21"/>
                <w:sz w:val="24"/>
                <w:szCs w:val="24"/>
              </w:rPr>
            </w:pPr>
            <w:r>
              <w:rPr>
                <w:rFonts w:ascii="Times New Roman" w:hAnsi="Times New Roman" w:eastAsia="黑体"/>
                <w:snapToGrid w:val="0"/>
                <w:color w:val="auto"/>
                <w:spacing w:val="-16"/>
                <w:kern w:val="21"/>
                <w:sz w:val="24"/>
                <w:szCs w:val="24"/>
              </w:rPr>
              <w:t>以新带老削减量</w:t>
            </w:r>
          </w:p>
          <w:p>
            <w:pPr>
              <w:pStyle w:val="19"/>
              <w:rPr>
                <w:rFonts w:ascii="Times New Roman" w:hAnsi="Times New Roman" w:eastAsia="黑体"/>
                <w:snapToGrid w:val="0"/>
                <w:color w:val="auto"/>
                <w:spacing w:val="-16"/>
                <w:kern w:val="21"/>
                <w:sz w:val="24"/>
                <w:szCs w:val="24"/>
              </w:rPr>
            </w:pPr>
            <w:r>
              <w:rPr>
                <w:rFonts w:ascii="Times New Roman" w:hAnsi="Times New Roman" w:eastAsia="黑体"/>
                <w:snapToGrid w:val="0"/>
                <w:color w:val="auto"/>
                <w:spacing w:val="-16"/>
                <w:kern w:val="21"/>
                <w:sz w:val="24"/>
                <w:szCs w:val="24"/>
              </w:rPr>
              <w:t>（新建项目不填）</w:t>
            </w:r>
            <w:r>
              <w:rPr>
                <w:rFonts w:ascii="Times New Roman" w:hAnsi="Times New Roman" w:eastAsia="黑体"/>
                <w:snapToGrid w:val="0"/>
                <w:color w:val="auto"/>
                <w:spacing w:val="-16"/>
                <w:kern w:val="21"/>
                <w:sz w:val="24"/>
                <w:szCs w:val="24"/>
              </w:rPr>
              <w:fldChar w:fldCharType="begin"/>
            </w:r>
            <w:r>
              <w:rPr>
                <w:rFonts w:ascii="Times New Roman" w:hAnsi="Times New Roman" w:eastAsia="黑体"/>
                <w:snapToGrid w:val="0"/>
                <w:color w:val="auto"/>
                <w:spacing w:val="-16"/>
                <w:kern w:val="21"/>
                <w:sz w:val="24"/>
                <w:szCs w:val="24"/>
              </w:rPr>
              <w:instrText xml:space="preserve"> = 5 \* GB3 \* MERGEFORMAT </w:instrText>
            </w:r>
            <w:r>
              <w:rPr>
                <w:rFonts w:ascii="Times New Roman" w:hAnsi="Times New Roman" w:eastAsia="黑体"/>
                <w:snapToGrid w:val="0"/>
                <w:color w:val="auto"/>
                <w:spacing w:val="-16"/>
                <w:kern w:val="21"/>
                <w:sz w:val="24"/>
                <w:szCs w:val="24"/>
              </w:rPr>
              <w:fldChar w:fldCharType="separate"/>
            </w:r>
            <w:r>
              <w:rPr>
                <w:rFonts w:hint="eastAsia" w:ascii="宋体" w:hAnsi="宋体" w:cs="宋体"/>
                <w:color w:val="auto"/>
                <w:kern w:val="2"/>
                <w:sz w:val="24"/>
                <w:szCs w:val="24"/>
              </w:rPr>
              <w:t>⑤</w:t>
            </w:r>
            <w:r>
              <w:rPr>
                <w:rFonts w:ascii="Times New Roman" w:hAnsi="Times New Roman" w:eastAsia="黑体"/>
                <w:snapToGrid w:val="0"/>
                <w:color w:val="auto"/>
                <w:spacing w:val="-16"/>
                <w:kern w:val="21"/>
                <w:sz w:val="24"/>
                <w:szCs w:val="24"/>
              </w:rPr>
              <w:fldChar w:fldCharType="end"/>
            </w:r>
          </w:p>
        </w:tc>
        <w:tc>
          <w:tcPr>
            <w:tcW w:w="1842" w:type="dxa"/>
            <w:noWrap w:val="0"/>
            <w:tcMar>
              <w:left w:w="28" w:type="dxa"/>
              <w:right w:w="28" w:type="dxa"/>
            </w:tcMar>
            <w:vAlign w:val="center"/>
          </w:tcPr>
          <w:p>
            <w:pPr>
              <w:pStyle w:val="19"/>
              <w:rPr>
                <w:rFonts w:ascii="Times New Roman" w:hAnsi="Times New Roman" w:eastAsia="黑体"/>
                <w:snapToGrid w:val="0"/>
                <w:color w:val="auto"/>
                <w:spacing w:val="-16"/>
                <w:kern w:val="21"/>
                <w:sz w:val="24"/>
                <w:szCs w:val="24"/>
              </w:rPr>
            </w:pPr>
            <w:r>
              <w:rPr>
                <w:rFonts w:ascii="Times New Roman" w:hAnsi="Times New Roman" w:eastAsia="黑体"/>
                <w:snapToGrid w:val="0"/>
                <w:color w:val="auto"/>
                <w:spacing w:val="-16"/>
                <w:kern w:val="21"/>
                <w:sz w:val="24"/>
                <w:szCs w:val="24"/>
              </w:rPr>
              <w:t>本项目建成后</w:t>
            </w:r>
          </w:p>
          <w:p>
            <w:pPr>
              <w:pStyle w:val="19"/>
              <w:rPr>
                <w:rFonts w:ascii="Times New Roman" w:hAnsi="Times New Roman" w:eastAsia="黑体"/>
                <w:snapToGrid w:val="0"/>
                <w:color w:val="auto"/>
                <w:spacing w:val="-16"/>
                <w:kern w:val="21"/>
                <w:sz w:val="24"/>
                <w:szCs w:val="24"/>
              </w:rPr>
            </w:pPr>
            <w:r>
              <w:rPr>
                <w:rFonts w:ascii="Times New Roman" w:hAnsi="Times New Roman" w:eastAsia="黑体"/>
                <w:snapToGrid w:val="0"/>
                <w:color w:val="auto"/>
                <w:spacing w:val="-16"/>
                <w:kern w:val="21"/>
                <w:sz w:val="24"/>
                <w:szCs w:val="24"/>
              </w:rPr>
              <w:t>全厂排放量（固体废物产生量）</w:t>
            </w:r>
            <w:r>
              <w:rPr>
                <w:rFonts w:ascii="Times New Roman" w:hAnsi="Times New Roman" w:eastAsia="黑体"/>
                <w:snapToGrid w:val="0"/>
                <w:color w:val="auto"/>
                <w:spacing w:val="-16"/>
                <w:kern w:val="21"/>
                <w:sz w:val="24"/>
                <w:szCs w:val="24"/>
              </w:rPr>
              <w:fldChar w:fldCharType="begin"/>
            </w:r>
            <w:r>
              <w:rPr>
                <w:rFonts w:ascii="Times New Roman" w:hAnsi="Times New Roman" w:eastAsia="黑体"/>
                <w:snapToGrid w:val="0"/>
                <w:color w:val="auto"/>
                <w:spacing w:val="-16"/>
                <w:kern w:val="21"/>
                <w:sz w:val="24"/>
                <w:szCs w:val="24"/>
              </w:rPr>
              <w:instrText xml:space="preserve"> = 6 \* GB3 \* MERGEFORMAT </w:instrText>
            </w:r>
            <w:r>
              <w:rPr>
                <w:rFonts w:ascii="Times New Roman" w:hAnsi="Times New Roman" w:eastAsia="黑体"/>
                <w:snapToGrid w:val="0"/>
                <w:color w:val="auto"/>
                <w:spacing w:val="-16"/>
                <w:kern w:val="21"/>
                <w:sz w:val="24"/>
                <w:szCs w:val="24"/>
              </w:rPr>
              <w:fldChar w:fldCharType="separate"/>
            </w:r>
            <w:r>
              <w:rPr>
                <w:rFonts w:hint="eastAsia" w:ascii="宋体" w:hAnsi="宋体" w:cs="宋体"/>
                <w:color w:val="auto"/>
                <w:kern w:val="2"/>
                <w:sz w:val="24"/>
                <w:szCs w:val="24"/>
              </w:rPr>
              <w:t>⑥</w:t>
            </w:r>
            <w:r>
              <w:rPr>
                <w:rFonts w:ascii="Times New Roman" w:hAnsi="Times New Roman" w:eastAsia="黑体"/>
                <w:snapToGrid w:val="0"/>
                <w:color w:val="auto"/>
                <w:spacing w:val="-16"/>
                <w:kern w:val="21"/>
                <w:sz w:val="24"/>
                <w:szCs w:val="24"/>
              </w:rPr>
              <w:fldChar w:fldCharType="end"/>
            </w:r>
          </w:p>
        </w:tc>
        <w:tc>
          <w:tcPr>
            <w:tcW w:w="1189" w:type="dxa"/>
            <w:noWrap w:val="0"/>
            <w:tcMar>
              <w:left w:w="28" w:type="dxa"/>
              <w:right w:w="28" w:type="dxa"/>
            </w:tcMar>
            <w:vAlign w:val="center"/>
          </w:tcPr>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t>变化量</w:t>
            </w:r>
          </w:p>
          <w:p>
            <w:pPr>
              <w:pStyle w:val="19"/>
              <w:rPr>
                <w:rFonts w:ascii="Times New Roman" w:hAnsi="Times New Roman" w:eastAsia="黑体"/>
                <w:snapToGrid w:val="0"/>
                <w:color w:val="auto"/>
                <w:spacing w:val="-6"/>
                <w:kern w:val="21"/>
                <w:sz w:val="24"/>
                <w:szCs w:val="24"/>
              </w:rPr>
            </w:pPr>
            <w:r>
              <w:rPr>
                <w:rFonts w:ascii="Times New Roman" w:hAnsi="Times New Roman" w:eastAsia="黑体"/>
                <w:snapToGrid w:val="0"/>
                <w:color w:val="auto"/>
                <w:spacing w:val="-6"/>
                <w:kern w:val="21"/>
                <w:sz w:val="24"/>
                <w:szCs w:val="24"/>
              </w:rPr>
              <w:fldChar w:fldCharType="begin"/>
            </w:r>
            <w:r>
              <w:rPr>
                <w:rFonts w:ascii="Times New Roman" w:hAnsi="Times New Roman" w:eastAsia="黑体"/>
                <w:snapToGrid w:val="0"/>
                <w:color w:val="auto"/>
                <w:spacing w:val="-6"/>
                <w:kern w:val="21"/>
                <w:sz w:val="24"/>
                <w:szCs w:val="24"/>
              </w:rPr>
              <w:instrText xml:space="preserve"> = 7 \* GB3 \* MERGEFORMAT </w:instrText>
            </w:r>
            <w:r>
              <w:rPr>
                <w:rFonts w:ascii="Times New Roman" w:hAnsi="Times New Roman" w:eastAsia="黑体"/>
                <w:snapToGrid w:val="0"/>
                <w:color w:val="auto"/>
                <w:spacing w:val="-6"/>
                <w:kern w:val="21"/>
                <w:sz w:val="24"/>
                <w:szCs w:val="24"/>
              </w:rPr>
              <w:fldChar w:fldCharType="separate"/>
            </w:r>
            <w:r>
              <w:rPr>
                <w:rFonts w:hint="eastAsia" w:ascii="宋体" w:hAnsi="宋体" w:cs="宋体"/>
                <w:color w:val="auto"/>
                <w:kern w:val="2"/>
                <w:sz w:val="24"/>
                <w:szCs w:val="24"/>
              </w:rPr>
              <w:t>⑦</w:t>
            </w:r>
            <w:r>
              <w:rPr>
                <w:rFonts w:ascii="Times New Roman" w:hAnsi="Times New Roman" w:eastAsia="黑体"/>
                <w:snapToGrid w:val="0"/>
                <w:color w:val="auto"/>
                <w:spacing w:val="-6"/>
                <w:kern w:val="21"/>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10" w:type="dxa"/>
            <w:vMerge w:val="restart"/>
            <w:noWrap w:val="0"/>
            <w:vAlign w:val="center"/>
          </w:tcPr>
          <w:p>
            <w:pPr>
              <w:pStyle w:val="19"/>
              <w:rPr>
                <w:rFonts w:ascii="Times New Roman" w:hAnsi="Times New Roman"/>
                <w:snapToGrid w:val="0"/>
                <w:color w:val="auto"/>
                <w:kern w:val="21"/>
                <w:sz w:val="24"/>
                <w:szCs w:val="24"/>
              </w:rPr>
            </w:pPr>
            <w:r>
              <w:rPr>
                <w:rFonts w:ascii="Times New Roman" w:hAnsi="Times New Roman"/>
                <w:snapToGrid w:val="0"/>
                <w:color w:val="auto"/>
                <w:kern w:val="21"/>
                <w:sz w:val="24"/>
                <w:szCs w:val="24"/>
              </w:rPr>
              <w:t>废气</w:t>
            </w:r>
          </w:p>
          <w:p>
            <w:pPr>
              <w:pStyle w:val="19"/>
              <w:rPr>
                <w:rFonts w:ascii="Times New Roman" w:hAnsi="Times New Roman"/>
                <w:snapToGrid w:val="0"/>
                <w:color w:val="auto"/>
                <w:kern w:val="21"/>
                <w:sz w:val="24"/>
                <w:szCs w:val="24"/>
              </w:rPr>
            </w:pPr>
            <w:r>
              <w:rPr>
                <w:rFonts w:ascii="Times New Roman" w:hAnsi="Times New Roman"/>
                <w:snapToGrid w:val="0"/>
                <w:color w:val="auto"/>
                <w:kern w:val="21"/>
                <w:sz w:val="24"/>
                <w:szCs w:val="24"/>
              </w:rPr>
              <w:t>（</w:t>
            </w:r>
            <w:r>
              <w:rPr>
                <w:rFonts w:hint="eastAsia" w:ascii="Times New Roman" w:hAnsi="Times New Roman"/>
                <w:snapToGrid w:val="0"/>
                <w:color w:val="auto"/>
                <w:kern w:val="21"/>
                <w:sz w:val="24"/>
                <w:szCs w:val="24"/>
                <w:lang w:val="en-US" w:eastAsia="zh-CN"/>
              </w:rPr>
              <w:t>t</w:t>
            </w:r>
            <w:r>
              <w:rPr>
                <w:rFonts w:ascii="Times New Roman" w:hAnsi="Times New Roman"/>
                <w:snapToGrid w:val="0"/>
                <w:color w:val="auto"/>
                <w:kern w:val="21"/>
                <w:sz w:val="24"/>
                <w:szCs w:val="24"/>
              </w:rPr>
              <w:t>/a）</w:t>
            </w:r>
          </w:p>
        </w:tc>
        <w:tc>
          <w:tcPr>
            <w:tcW w:w="1833"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颗粒物</w:t>
            </w:r>
          </w:p>
        </w:tc>
        <w:tc>
          <w:tcPr>
            <w:tcW w:w="156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0.01</w:t>
            </w:r>
          </w:p>
        </w:tc>
        <w:tc>
          <w:tcPr>
            <w:tcW w:w="1505"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pStyle w:val="19"/>
              <w:rPr>
                <w:rFonts w:hint="default" w:ascii="Times New Roman" w:hAnsi="Times New Roman" w:eastAsia="宋体" w:cs="Times New Roman"/>
                <w:color w:val="auto"/>
                <w:sz w:val="24"/>
                <w:szCs w:val="24"/>
                <w:lang w:val="en-US" w:eastAsia="zh-CN"/>
              </w:rPr>
            </w:pPr>
            <w:r>
              <w:rPr>
                <w:rFonts w:hint="eastAsia" w:ascii="Times New Roman" w:hAnsi="Times New Roman"/>
                <w:snapToGrid w:val="0"/>
                <w:color w:val="auto"/>
                <w:kern w:val="21"/>
                <w:sz w:val="24"/>
                <w:szCs w:val="24"/>
                <w:lang w:val="en-US" w:eastAsia="zh-CN"/>
              </w:rPr>
              <w:t>0</w:t>
            </w:r>
          </w:p>
        </w:tc>
        <w:tc>
          <w:tcPr>
            <w:tcW w:w="155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985" w:type="dxa"/>
            <w:noWrap w:val="0"/>
            <w:vAlign w:val="center"/>
          </w:tcPr>
          <w:p>
            <w:pPr>
              <w:pStyle w:val="19"/>
              <w:rPr>
                <w:rFonts w:hint="default" w:ascii="Times New Roman" w:hAnsi="Times New Roman" w:eastAsia="宋体"/>
                <w:snapToGrid w:val="0"/>
                <w:color w:val="auto"/>
                <w:kern w:val="21"/>
                <w:sz w:val="24"/>
                <w:szCs w:val="24"/>
                <w:lang w:val="en-US" w:eastAsia="zh-CN"/>
              </w:rPr>
            </w:pPr>
            <w:r>
              <w:rPr>
                <w:rFonts w:hint="eastAsia" w:ascii="Times New Roman" w:hAnsi="Times New Roman"/>
                <w:snapToGrid w:val="0"/>
                <w:color w:val="auto"/>
                <w:kern w:val="21"/>
                <w:sz w:val="24"/>
                <w:szCs w:val="24"/>
                <w:lang w:val="en-US" w:eastAsia="zh-CN"/>
              </w:rPr>
              <w:t>0.01</w:t>
            </w:r>
          </w:p>
        </w:tc>
        <w:tc>
          <w:tcPr>
            <w:tcW w:w="1842"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189" w:type="dxa"/>
            <w:noWrap w:val="0"/>
            <w:vAlign w:val="center"/>
          </w:tcPr>
          <w:p>
            <w:pPr>
              <w:adjustRightInd w:val="0"/>
              <w:snapToGrid w:val="0"/>
              <w:jc w:val="center"/>
              <w:rPr>
                <w:rFonts w:hint="default" w:eastAsia="宋体"/>
                <w:snapToGrid w:val="0"/>
                <w:color w:val="auto"/>
                <w:kern w:val="21"/>
                <w:sz w:val="24"/>
                <w:szCs w:val="24"/>
                <w:lang w:val="en-US" w:eastAsia="zh-CN"/>
              </w:rPr>
            </w:pPr>
            <w:r>
              <w:rPr>
                <w:rFonts w:hint="eastAsia" w:cs="Times New Roman"/>
                <w:color w:val="auto"/>
                <w:sz w:val="24"/>
                <w:szCs w:val="24"/>
                <w:lang w:val="en-US" w:eastAsia="zh-CN"/>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VOC</w:t>
            </w:r>
            <w:r>
              <w:rPr>
                <w:rFonts w:hint="eastAsia" w:cs="Times New Roman"/>
                <w:color w:val="auto"/>
                <w:sz w:val="24"/>
                <w:szCs w:val="24"/>
                <w:vertAlign w:val="subscript"/>
                <w:lang w:val="en-US" w:eastAsia="zh-CN"/>
              </w:rPr>
              <w:t>S</w:t>
            </w:r>
          </w:p>
        </w:tc>
        <w:tc>
          <w:tcPr>
            <w:tcW w:w="156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r>
              <w:rPr>
                <w:rFonts w:hint="eastAsia" w:cs="Times New Roman"/>
                <w:color w:val="auto"/>
                <w:sz w:val="24"/>
                <w:szCs w:val="24"/>
                <w:lang w:val="en-US" w:eastAsia="zh-CN"/>
              </w:rPr>
              <w:t>.01</w:t>
            </w:r>
          </w:p>
        </w:tc>
        <w:tc>
          <w:tcPr>
            <w:tcW w:w="1505"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snapToGrid w:val="0"/>
                <w:color w:val="auto"/>
                <w:kern w:val="21"/>
                <w:sz w:val="24"/>
                <w:szCs w:val="24"/>
                <w:lang w:val="en-US" w:eastAsia="zh-CN"/>
              </w:rPr>
              <w:t>0</w:t>
            </w:r>
          </w:p>
        </w:tc>
        <w:tc>
          <w:tcPr>
            <w:tcW w:w="155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985" w:type="dxa"/>
            <w:noWrap w:val="0"/>
            <w:vAlign w:val="center"/>
          </w:tcPr>
          <w:p>
            <w:pPr>
              <w:jc w:val="center"/>
              <w:rPr>
                <w:rFonts w:hint="default" w:ascii="Times New Roman" w:hAnsi="Times New Roman"/>
                <w:snapToGrid w:val="0"/>
                <w:color w:val="auto"/>
                <w:kern w:val="21"/>
                <w:sz w:val="24"/>
                <w:szCs w:val="24"/>
                <w:lang w:val="en-US"/>
              </w:rPr>
            </w:pPr>
            <w:r>
              <w:rPr>
                <w:rFonts w:hint="eastAsia" w:ascii="Times New Roman" w:hAnsi="Times New Roman"/>
                <w:snapToGrid w:val="0"/>
                <w:color w:val="auto"/>
                <w:kern w:val="21"/>
                <w:sz w:val="24"/>
                <w:szCs w:val="24"/>
                <w:lang w:val="en-US" w:eastAsia="zh-CN"/>
              </w:rPr>
              <w:t>0</w:t>
            </w:r>
            <w:r>
              <w:rPr>
                <w:rFonts w:hint="eastAsia"/>
                <w:snapToGrid w:val="0"/>
                <w:color w:val="auto"/>
                <w:kern w:val="21"/>
                <w:sz w:val="24"/>
                <w:szCs w:val="24"/>
                <w:lang w:val="en-US" w:eastAsia="zh-CN"/>
              </w:rPr>
              <w:t>.01</w:t>
            </w:r>
          </w:p>
        </w:tc>
        <w:tc>
          <w:tcPr>
            <w:tcW w:w="1842"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189" w:type="dxa"/>
            <w:noWrap w:val="0"/>
            <w:vAlign w:val="center"/>
          </w:tcPr>
          <w:p>
            <w:pPr>
              <w:adjustRightInd w:val="0"/>
              <w:snapToGrid w:val="0"/>
              <w:jc w:val="center"/>
              <w:rPr>
                <w:rFonts w:hint="default"/>
                <w:snapToGrid w:val="0"/>
                <w:color w:val="auto"/>
                <w:kern w:val="21"/>
                <w:sz w:val="24"/>
                <w:szCs w:val="24"/>
                <w:lang w:val="en-US"/>
              </w:rPr>
            </w:pPr>
            <w:r>
              <w:rPr>
                <w:rFonts w:hint="eastAsia" w:cs="Times New Roman"/>
                <w:color w:val="auto"/>
                <w:sz w:val="24"/>
                <w:szCs w:val="24"/>
                <w:lang w:val="en-US" w:eastAsia="zh-CN"/>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氨</w:t>
            </w:r>
          </w:p>
        </w:tc>
        <w:tc>
          <w:tcPr>
            <w:tcW w:w="156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0.004</w:t>
            </w:r>
          </w:p>
        </w:tc>
        <w:tc>
          <w:tcPr>
            <w:tcW w:w="1505"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snapToGrid w:val="0"/>
                <w:color w:val="auto"/>
                <w:kern w:val="21"/>
                <w:sz w:val="24"/>
                <w:szCs w:val="24"/>
                <w:lang w:val="en-US" w:eastAsia="zh-CN"/>
              </w:rPr>
              <w:t>0</w:t>
            </w:r>
          </w:p>
        </w:tc>
        <w:tc>
          <w:tcPr>
            <w:tcW w:w="155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0.002</w:t>
            </w:r>
          </w:p>
        </w:tc>
        <w:tc>
          <w:tcPr>
            <w:tcW w:w="1985" w:type="dxa"/>
            <w:noWrap w:val="0"/>
            <w:vAlign w:val="center"/>
          </w:tcPr>
          <w:p>
            <w:pPr>
              <w:jc w:val="center"/>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lang w:val="en-US" w:eastAsia="zh-CN"/>
              </w:rPr>
              <w:t>0</w:t>
            </w:r>
          </w:p>
        </w:tc>
        <w:tc>
          <w:tcPr>
            <w:tcW w:w="1842"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0.002</w:t>
            </w:r>
          </w:p>
        </w:tc>
        <w:tc>
          <w:tcPr>
            <w:tcW w:w="1189" w:type="dxa"/>
            <w:noWrap w:val="0"/>
            <w:vAlign w:val="center"/>
          </w:tcPr>
          <w:p>
            <w:pPr>
              <w:adjustRightInd w:val="0"/>
              <w:snapToGrid w:val="0"/>
              <w:jc w:val="center"/>
              <w:rPr>
                <w:rFonts w:hint="default"/>
                <w:snapToGrid w:val="0"/>
                <w:color w:val="auto"/>
                <w:kern w:val="21"/>
                <w:sz w:val="24"/>
                <w:szCs w:val="24"/>
                <w:lang w:val="en-US"/>
              </w:rPr>
            </w:pPr>
            <w:r>
              <w:rPr>
                <w:rFonts w:hint="eastAsia" w:cs="Times New Roman"/>
                <w:color w:val="auto"/>
                <w:sz w:val="24"/>
                <w:szCs w:val="24"/>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硫化氢</w:t>
            </w:r>
          </w:p>
        </w:tc>
        <w:tc>
          <w:tcPr>
            <w:tcW w:w="156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0.0003</w:t>
            </w:r>
          </w:p>
        </w:tc>
        <w:tc>
          <w:tcPr>
            <w:tcW w:w="1505"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0.0000</w:t>
            </w:r>
            <w:r>
              <w:rPr>
                <w:rFonts w:hint="eastAsia" w:cs="Times New Roman"/>
                <w:color w:val="auto"/>
                <w:sz w:val="24"/>
                <w:szCs w:val="24"/>
                <w:lang w:val="en-US" w:eastAsia="zh-CN"/>
              </w:rPr>
              <w:t>6</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842"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0.0000</w:t>
            </w:r>
            <w:r>
              <w:rPr>
                <w:rFonts w:hint="eastAsia" w:cs="Times New Roman"/>
                <w:color w:val="auto"/>
                <w:sz w:val="24"/>
                <w:szCs w:val="24"/>
                <w:lang w:val="en-US" w:eastAsia="zh-CN"/>
              </w:rPr>
              <w:t>6</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-0.002</w:t>
            </w:r>
            <w:r>
              <w:rPr>
                <w:rFonts w:hint="eastAsia" w:cs="Times New Roman"/>
                <w:color w:val="auto"/>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10" w:type="dxa"/>
            <w:vMerge w:val="restart"/>
            <w:noWrap w:val="0"/>
            <w:vAlign w:val="center"/>
          </w:tcPr>
          <w:p>
            <w:pPr>
              <w:pStyle w:val="19"/>
              <w:rPr>
                <w:rFonts w:hint="eastAsia" w:ascii="Times New Roman" w:hAnsi="Times New Roman" w:eastAsia="宋体"/>
                <w:snapToGrid w:val="0"/>
                <w:color w:val="auto"/>
                <w:kern w:val="21"/>
                <w:sz w:val="24"/>
                <w:szCs w:val="24"/>
                <w:lang w:eastAsia="zh-CN"/>
              </w:rPr>
            </w:pPr>
            <w:r>
              <w:rPr>
                <w:rFonts w:ascii="Times New Roman" w:hAnsi="Times New Roman"/>
                <w:snapToGrid w:val="0"/>
                <w:color w:val="auto"/>
                <w:kern w:val="21"/>
                <w:sz w:val="24"/>
                <w:szCs w:val="24"/>
              </w:rPr>
              <w:t>废</w:t>
            </w:r>
            <w:r>
              <w:rPr>
                <w:rFonts w:hint="eastAsia" w:ascii="Times New Roman" w:hAnsi="Times New Roman"/>
                <w:snapToGrid w:val="0"/>
                <w:color w:val="auto"/>
                <w:kern w:val="21"/>
                <w:sz w:val="24"/>
                <w:szCs w:val="24"/>
                <w:lang w:eastAsia="zh-CN"/>
              </w:rPr>
              <w:t>水</w:t>
            </w:r>
          </w:p>
          <w:p>
            <w:pPr>
              <w:pStyle w:val="19"/>
              <w:rPr>
                <w:rFonts w:ascii="Times New Roman" w:hAnsi="Times New Roman"/>
                <w:snapToGrid w:val="0"/>
                <w:color w:val="auto"/>
                <w:kern w:val="21"/>
                <w:sz w:val="24"/>
                <w:szCs w:val="24"/>
              </w:rPr>
            </w:pPr>
            <w:r>
              <w:rPr>
                <w:rFonts w:ascii="Times New Roman" w:hAnsi="Times New Roman"/>
                <w:snapToGrid w:val="0"/>
                <w:color w:val="auto"/>
                <w:kern w:val="21"/>
                <w:sz w:val="24"/>
                <w:szCs w:val="24"/>
              </w:rPr>
              <w:t>（</w:t>
            </w:r>
            <w:r>
              <w:rPr>
                <w:rFonts w:hint="eastAsia" w:ascii="Times New Roman" w:hAnsi="Times New Roman"/>
                <w:snapToGrid w:val="0"/>
                <w:color w:val="auto"/>
                <w:kern w:val="21"/>
                <w:sz w:val="24"/>
                <w:szCs w:val="24"/>
                <w:lang w:val="en-US" w:eastAsia="zh-CN"/>
              </w:rPr>
              <w:t>t</w:t>
            </w:r>
            <w:r>
              <w:rPr>
                <w:rFonts w:ascii="Times New Roman" w:hAnsi="Times New Roman"/>
                <w:snapToGrid w:val="0"/>
                <w:color w:val="auto"/>
                <w:kern w:val="21"/>
                <w:sz w:val="24"/>
                <w:szCs w:val="24"/>
              </w:rPr>
              <w:t>/a）</w:t>
            </w:r>
          </w:p>
        </w:tc>
        <w:tc>
          <w:tcPr>
            <w:tcW w:w="183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COD</w:t>
            </w:r>
          </w:p>
        </w:tc>
        <w:tc>
          <w:tcPr>
            <w:tcW w:w="1563" w:type="dxa"/>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1.49</w:t>
            </w:r>
          </w:p>
        </w:tc>
        <w:tc>
          <w:tcPr>
            <w:tcW w:w="150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0.1273</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0.7591</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0.8582</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-0.6</w:t>
            </w:r>
            <w:r>
              <w:rPr>
                <w:rFonts w:hint="eastAsia" w:ascii="Times New Roman" w:hAnsi="Times New Roman" w:eastAsia="宋体" w:cs="Times New Roman"/>
                <w:color w:val="auto"/>
                <w:sz w:val="24"/>
                <w:szCs w:val="24"/>
                <w:lang w:val="en-US" w:eastAsia="zh-CN"/>
              </w:rPr>
              <w:t>318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default" w:cs="Times New Roman"/>
                <w:color w:val="auto"/>
                <w:sz w:val="24"/>
                <w:szCs w:val="24"/>
                <w:lang w:val="en-US" w:eastAsia="zh-CN"/>
              </w:rPr>
            </w:pPr>
            <w:r>
              <w:rPr>
                <w:rFonts w:hint="eastAsia" w:cs="Times New Roman"/>
                <w:color w:val="auto"/>
                <w:sz w:val="24"/>
                <w:szCs w:val="24"/>
                <w:lang w:val="en-US" w:eastAsia="zh-CN"/>
              </w:rPr>
              <w:t>BOD</w:t>
            </w:r>
            <w:r>
              <w:rPr>
                <w:rFonts w:hint="eastAsia" w:cs="Times New Roman"/>
                <w:color w:val="auto"/>
                <w:sz w:val="24"/>
                <w:szCs w:val="24"/>
                <w:vertAlign w:val="subscript"/>
                <w:lang w:val="en-US" w:eastAsia="zh-CN"/>
              </w:rPr>
              <w:t>5</w:t>
            </w:r>
          </w:p>
        </w:tc>
        <w:tc>
          <w:tcPr>
            <w:tcW w:w="1563" w:type="dxa"/>
            <w:noWrap w:val="0"/>
            <w:vAlign w:val="center"/>
          </w:tcPr>
          <w:p>
            <w:pPr>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w:t>
            </w:r>
          </w:p>
        </w:tc>
        <w:tc>
          <w:tcPr>
            <w:tcW w:w="1505" w:type="dxa"/>
            <w:noWrap w:val="0"/>
            <w:vAlign w:val="center"/>
          </w:tcPr>
          <w:p>
            <w:pPr>
              <w:jc w:val="center"/>
              <w:rPr>
                <w:rFonts w:hint="eastAsia"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0.0198</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0.0198</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0.0</w:t>
            </w:r>
            <w:r>
              <w:rPr>
                <w:rFonts w:hint="eastAsia" w:ascii="Times New Roman" w:hAnsi="Times New Roman" w:eastAsia="宋体" w:cs="Times New Roman"/>
                <w:color w:val="auto"/>
                <w:sz w:val="24"/>
                <w:szCs w:val="24"/>
                <w:lang w:val="en-US" w:eastAsia="zh-CN"/>
              </w:rPr>
              <w:t>198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SS</w:t>
            </w:r>
          </w:p>
        </w:tc>
        <w:tc>
          <w:tcPr>
            <w:tcW w:w="1563" w:type="dxa"/>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0.714</w:t>
            </w:r>
          </w:p>
        </w:tc>
        <w:tc>
          <w:tcPr>
            <w:tcW w:w="150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0.0399</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0.3345</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0.4194</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-0.29</w:t>
            </w:r>
            <w:r>
              <w:rPr>
                <w:rFonts w:hint="eastAsia" w:ascii="Times New Roman" w:hAnsi="Times New Roman" w:eastAsia="宋体" w:cs="Times New Roman"/>
                <w:color w:val="auto"/>
                <w:sz w:val="24"/>
                <w:szCs w:val="24"/>
                <w:lang w:val="en-US" w:eastAsia="zh-CN"/>
              </w:rPr>
              <w:t>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NH</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-N</w:t>
            </w:r>
          </w:p>
        </w:tc>
        <w:tc>
          <w:tcPr>
            <w:tcW w:w="1563" w:type="dxa"/>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0.147</w:t>
            </w:r>
          </w:p>
        </w:tc>
        <w:tc>
          <w:tcPr>
            <w:tcW w:w="150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0.0006</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0.087</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0.0606</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-0.086</w:t>
            </w:r>
            <w:r>
              <w:rPr>
                <w:rFonts w:hint="eastAsia" w:ascii="Times New Roman" w:hAnsi="Times New Roman" w:eastAsia="宋体" w:cs="Times New Roman"/>
                <w:color w:val="auto"/>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TP</w:t>
            </w:r>
          </w:p>
        </w:tc>
        <w:tc>
          <w:tcPr>
            <w:tcW w:w="1563" w:type="dxa"/>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0.002</w:t>
            </w:r>
          </w:p>
        </w:tc>
        <w:tc>
          <w:tcPr>
            <w:tcW w:w="150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0.002</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0.0009</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0.0031</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0.00</w:t>
            </w:r>
            <w:r>
              <w:rPr>
                <w:rFonts w:hint="eastAsia" w:ascii="Times New Roman" w:hAnsi="Times New Roman" w:eastAsia="宋体" w:cs="Times New Roman"/>
                <w:color w:val="auto"/>
                <w:sz w:val="24"/>
                <w:szCs w:val="24"/>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default" w:cs="Times New Roman"/>
                <w:color w:val="auto"/>
                <w:sz w:val="24"/>
                <w:szCs w:val="24"/>
                <w:lang w:val="en-US" w:eastAsia="zh-CN"/>
              </w:rPr>
            </w:pPr>
            <w:r>
              <w:rPr>
                <w:rFonts w:hint="eastAsia" w:cs="Times New Roman"/>
                <w:color w:val="auto"/>
                <w:sz w:val="24"/>
                <w:szCs w:val="24"/>
                <w:lang w:val="en-US" w:eastAsia="zh-CN"/>
              </w:rPr>
              <w:t>TN</w:t>
            </w:r>
          </w:p>
        </w:tc>
        <w:tc>
          <w:tcPr>
            <w:tcW w:w="1563" w:type="dxa"/>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0.2</w:t>
            </w:r>
          </w:p>
        </w:tc>
        <w:tc>
          <w:tcPr>
            <w:tcW w:w="1505" w:type="dxa"/>
            <w:noWrap w:val="0"/>
            <w:vAlign w:val="center"/>
          </w:tcPr>
          <w:p>
            <w:pPr>
              <w:jc w:val="center"/>
              <w:rPr>
                <w:rFonts w:hint="default"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0.0236</w:t>
            </w:r>
          </w:p>
        </w:tc>
        <w:tc>
          <w:tcPr>
            <w:tcW w:w="1985"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0.1268</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0.0968</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-0.10</w:t>
            </w:r>
            <w:r>
              <w:rPr>
                <w:rFonts w:hint="eastAsia" w:ascii="Times New Roman" w:hAnsi="Times New Roman" w:eastAsia="宋体" w:cs="Times New Roman"/>
                <w:color w:val="auto"/>
                <w:sz w:val="24"/>
                <w:szCs w:val="24"/>
                <w:lang w:val="en-US" w:eastAsia="zh-CN"/>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default" w:cs="Times New Roman"/>
                <w:color w:val="auto"/>
                <w:sz w:val="24"/>
                <w:szCs w:val="24"/>
                <w:lang w:val="en-US" w:eastAsia="zh-CN"/>
              </w:rPr>
            </w:pPr>
            <w:r>
              <w:rPr>
                <w:rFonts w:hint="eastAsia" w:cs="Times New Roman"/>
                <w:color w:val="auto"/>
                <w:sz w:val="24"/>
                <w:szCs w:val="24"/>
                <w:lang w:val="en-US" w:eastAsia="zh-CN"/>
              </w:rPr>
              <w:t>LAS</w:t>
            </w:r>
          </w:p>
        </w:tc>
        <w:tc>
          <w:tcPr>
            <w:tcW w:w="1563" w:type="dxa"/>
            <w:noWrap w:val="0"/>
            <w:vAlign w:val="center"/>
          </w:tcPr>
          <w:p>
            <w:pPr>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0.087</w:t>
            </w:r>
          </w:p>
        </w:tc>
        <w:tc>
          <w:tcPr>
            <w:tcW w:w="1505" w:type="dxa"/>
            <w:noWrap w:val="0"/>
            <w:vAlign w:val="center"/>
          </w:tcPr>
          <w:p>
            <w:pPr>
              <w:jc w:val="center"/>
              <w:rPr>
                <w:rFonts w:hint="eastAsia"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0.0028</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0.0888</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0.001</w:t>
            </w:r>
          </w:p>
        </w:tc>
        <w:tc>
          <w:tcPr>
            <w:tcW w:w="1189" w:type="dxa"/>
            <w:noWrap w:val="0"/>
            <w:vAlign w:val="center"/>
          </w:tcPr>
          <w:p>
            <w:pPr>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-0.08</w:t>
            </w:r>
            <w:r>
              <w:rPr>
                <w:rFonts w:hint="eastAsia" w:ascii="Times New Roman" w:hAnsi="Times New Roman" w:eastAsia="宋体" w:cs="Times New Roman"/>
                <w:color w:val="auto"/>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动植物油</w:t>
            </w:r>
          </w:p>
        </w:tc>
        <w:tc>
          <w:tcPr>
            <w:tcW w:w="1563" w:type="dxa"/>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1.49</w:t>
            </w:r>
          </w:p>
        </w:tc>
        <w:tc>
          <w:tcPr>
            <w:tcW w:w="150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0.001</w:t>
            </w:r>
          </w:p>
        </w:tc>
        <w:tc>
          <w:tcPr>
            <w:tcW w:w="118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0" w:type="dxa"/>
            <w:vMerge w:val="restart"/>
            <w:noWrap w:val="0"/>
            <w:vAlign w:val="center"/>
          </w:tcPr>
          <w:p>
            <w:pPr>
              <w:pStyle w:val="19"/>
              <w:rPr>
                <w:rFonts w:hint="eastAsia" w:ascii="Times New Roman" w:hAnsi="Times New Roman" w:eastAsia="宋体"/>
                <w:snapToGrid w:val="0"/>
                <w:color w:val="auto"/>
                <w:kern w:val="21"/>
                <w:sz w:val="24"/>
                <w:szCs w:val="24"/>
                <w:lang w:eastAsia="zh-CN"/>
              </w:rPr>
            </w:pPr>
            <w:r>
              <w:rPr>
                <w:rFonts w:hint="eastAsia" w:ascii="Times New Roman" w:hAnsi="Times New Roman"/>
                <w:snapToGrid w:val="0"/>
                <w:color w:val="auto"/>
                <w:kern w:val="21"/>
                <w:sz w:val="24"/>
                <w:szCs w:val="24"/>
                <w:lang w:eastAsia="zh-CN"/>
              </w:rPr>
              <w:t>一般固废</w:t>
            </w:r>
            <w:r>
              <w:rPr>
                <w:rFonts w:ascii="Times New Roman" w:hAnsi="Times New Roman"/>
                <w:snapToGrid w:val="0"/>
                <w:color w:val="auto"/>
                <w:kern w:val="21"/>
                <w:sz w:val="24"/>
                <w:szCs w:val="24"/>
              </w:rPr>
              <w:t>（</w:t>
            </w:r>
            <w:r>
              <w:rPr>
                <w:rFonts w:hint="eastAsia" w:ascii="Times New Roman" w:hAnsi="Times New Roman"/>
                <w:snapToGrid w:val="0"/>
                <w:color w:val="auto"/>
                <w:kern w:val="21"/>
                <w:sz w:val="24"/>
                <w:szCs w:val="24"/>
                <w:lang w:val="en-US" w:eastAsia="zh-CN"/>
              </w:rPr>
              <w:t>t</w:t>
            </w:r>
            <w:r>
              <w:rPr>
                <w:rFonts w:ascii="Times New Roman" w:hAnsi="Times New Roman"/>
                <w:snapToGrid w:val="0"/>
                <w:color w:val="auto"/>
                <w:kern w:val="21"/>
                <w:sz w:val="24"/>
                <w:szCs w:val="24"/>
              </w:rPr>
              <w:t>/a）</w:t>
            </w:r>
          </w:p>
        </w:tc>
        <w:tc>
          <w:tcPr>
            <w:tcW w:w="1833"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废纱</w:t>
            </w:r>
          </w:p>
        </w:tc>
        <w:tc>
          <w:tcPr>
            <w:tcW w:w="156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8</w:t>
            </w:r>
          </w:p>
        </w:tc>
        <w:tc>
          <w:tcPr>
            <w:tcW w:w="1505"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不合格品</w:t>
            </w:r>
          </w:p>
        </w:tc>
        <w:tc>
          <w:tcPr>
            <w:tcW w:w="156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10</w:t>
            </w:r>
          </w:p>
        </w:tc>
        <w:tc>
          <w:tcPr>
            <w:tcW w:w="1505"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10" w:type="dxa"/>
            <w:vMerge w:val="restart"/>
            <w:noWrap w:val="0"/>
            <w:vAlign w:val="center"/>
          </w:tcPr>
          <w:p>
            <w:pPr>
              <w:pStyle w:val="19"/>
              <w:rPr>
                <w:rFonts w:hint="eastAsia" w:ascii="Times New Roman" w:hAnsi="Times New Roman"/>
                <w:snapToGrid w:val="0"/>
                <w:color w:val="auto"/>
                <w:kern w:val="21"/>
                <w:sz w:val="24"/>
                <w:szCs w:val="24"/>
              </w:rPr>
            </w:pPr>
            <w:r>
              <w:rPr>
                <w:rFonts w:ascii="Times New Roman" w:hAnsi="Times New Roman"/>
                <w:snapToGrid w:val="0"/>
                <w:color w:val="auto"/>
                <w:kern w:val="21"/>
                <w:sz w:val="24"/>
                <w:szCs w:val="24"/>
              </w:rPr>
              <w:t>危险废物</w:t>
            </w:r>
          </w:p>
          <w:p>
            <w:pPr>
              <w:pStyle w:val="19"/>
              <w:rPr>
                <w:rFonts w:ascii="Times New Roman" w:hAnsi="Times New Roman"/>
                <w:snapToGrid w:val="0"/>
                <w:color w:val="auto"/>
                <w:kern w:val="21"/>
                <w:sz w:val="24"/>
                <w:szCs w:val="24"/>
              </w:rPr>
            </w:pPr>
            <w:r>
              <w:rPr>
                <w:rFonts w:ascii="Times New Roman" w:hAnsi="Times New Roman"/>
                <w:snapToGrid w:val="0"/>
                <w:color w:val="auto"/>
                <w:kern w:val="21"/>
                <w:sz w:val="24"/>
                <w:szCs w:val="24"/>
              </w:rPr>
              <w:t>（t/a）</w:t>
            </w:r>
          </w:p>
        </w:tc>
        <w:tc>
          <w:tcPr>
            <w:tcW w:w="1833" w:type="dxa"/>
            <w:noWrap w:val="0"/>
            <w:vAlign w:val="center"/>
          </w:tcPr>
          <w:p>
            <w:pPr>
              <w:adjustRightInd w:val="0"/>
              <w:snapToGrid w:val="0"/>
              <w:jc w:val="center"/>
              <w:rPr>
                <w:rFonts w:hint="eastAsia" w:cs="Times New Roman"/>
                <w:color w:val="auto"/>
                <w:sz w:val="24"/>
                <w:szCs w:val="24"/>
                <w:lang w:val="en-US" w:eastAsia="zh-CN"/>
              </w:rPr>
            </w:pPr>
            <w:r>
              <w:rPr>
                <w:rFonts w:hint="eastAsia" w:cs="Times New Roman"/>
                <w:color w:val="auto"/>
                <w:sz w:val="24"/>
                <w:szCs w:val="24"/>
                <w:lang w:val="en-US" w:eastAsia="zh-CN"/>
              </w:rPr>
              <w:t>废机油</w:t>
            </w:r>
          </w:p>
        </w:tc>
        <w:tc>
          <w:tcPr>
            <w:tcW w:w="1563"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0.01</w:t>
            </w:r>
          </w:p>
        </w:tc>
        <w:tc>
          <w:tcPr>
            <w:tcW w:w="1505"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985"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842"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0.01</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eastAsia" w:cs="Times New Roman"/>
                <w:color w:val="auto"/>
                <w:sz w:val="24"/>
                <w:szCs w:val="24"/>
                <w:lang w:val="en-US" w:eastAsia="zh-CN"/>
              </w:rPr>
            </w:pPr>
            <w:r>
              <w:rPr>
                <w:rFonts w:hint="eastAsia" w:cs="Times New Roman"/>
                <w:color w:val="auto"/>
                <w:sz w:val="24"/>
                <w:szCs w:val="24"/>
                <w:lang w:val="en-US" w:eastAsia="zh-CN"/>
              </w:rPr>
              <w:t>废包装桶</w:t>
            </w:r>
          </w:p>
        </w:tc>
        <w:tc>
          <w:tcPr>
            <w:tcW w:w="1563" w:type="dxa"/>
            <w:noWrap w:val="0"/>
            <w:vAlign w:val="center"/>
          </w:tcPr>
          <w:p>
            <w:pPr>
              <w:adjustRightInd w:val="0"/>
              <w:snapToGrid w:val="0"/>
              <w:jc w:val="center"/>
              <w:rPr>
                <w:rFonts w:hint="eastAsia" w:cs="Times New Roman"/>
                <w:color w:val="auto"/>
                <w:sz w:val="24"/>
                <w:szCs w:val="24"/>
                <w:lang w:val="en-US" w:eastAsia="zh-CN"/>
              </w:rPr>
            </w:pPr>
            <w:r>
              <w:rPr>
                <w:rFonts w:hint="eastAsia" w:cs="Times New Roman"/>
                <w:color w:val="auto"/>
                <w:sz w:val="24"/>
                <w:szCs w:val="24"/>
                <w:lang w:val="en-US" w:eastAsia="zh-CN"/>
              </w:rPr>
              <w:t>0.9</w:t>
            </w:r>
          </w:p>
        </w:tc>
        <w:tc>
          <w:tcPr>
            <w:tcW w:w="1505" w:type="dxa"/>
            <w:noWrap w:val="0"/>
            <w:vAlign w:val="center"/>
          </w:tcPr>
          <w:p>
            <w:pPr>
              <w:adjustRightInd w:val="0"/>
              <w:snapToGrid w:val="0"/>
              <w:jc w:val="center"/>
              <w:rPr>
                <w:rFonts w:hint="eastAsia"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0.24</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0.24</w:t>
            </w:r>
          </w:p>
        </w:tc>
        <w:tc>
          <w:tcPr>
            <w:tcW w:w="118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eastAsia" w:cs="Times New Roman"/>
                <w:color w:val="auto"/>
                <w:sz w:val="24"/>
                <w:szCs w:val="24"/>
                <w:lang w:val="en-US" w:eastAsia="zh-CN"/>
              </w:rPr>
            </w:pPr>
            <w:r>
              <w:rPr>
                <w:rFonts w:hint="eastAsia" w:cs="Times New Roman"/>
                <w:color w:val="auto"/>
                <w:sz w:val="24"/>
                <w:szCs w:val="24"/>
                <w:lang w:val="en-US" w:eastAsia="zh-CN"/>
              </w:rPr>
              <w:t>污泥</w:t>
            </w:r>
          </w:p>
        </w:tc>
        <w:tc>
          <w:tcPr>
            <w:tcW w:w="1563" w:type="dxa"/>
            <w:noWrap w:val="0"/>
            <w:vAlign w:val="center"/>
          </w:tcPr>
          <w:p>
            <w:pPr>
              <w:adjustRightInd w:val="0"/>
              <w:snapToGrid w:val="0"/>
              <w:jc w:val="center"/>
              <w:rPr>
                <w:rFonts w:hint="eastAsia" w:cs="Times New Roman"/>
                <w:color w:val="auto"/>
                <w:sz w:val="24"/>
                <w:szCs w:val="24"/>
                <w:lang w:val="en-US" w:eastAsia="zh-CN"/>
              </w:rPr>
            </w:pPr>
            <w:r>
              <w:rPr>
                <w:rFonts w:hint="eastAsia" w:cs="Times New Roman"/>
                <w:color w:val="auto"/>
                <w:sz w:val="24"/>
                <w:szCs w:val="24"/>
                <w:lang w:val="en-US" w:eastAsia="zh-CN"/>
              </w:rPr>
              <w:t>12.3</w:t>
            </w:r>
          </w:p>
        </w:tc>
        <w:tc>
          <w:tcPr>
            <w:tcW w:w="1505" w:type="dxa"/>
            <w:noWrap w:val="0"/>
            <w:vAlign w:val="center"/>
          </w:tcPr>
          <w:p>
            <w:pPr>
              <w:adjustRightInd w:val="0"/>
              <w:snapToGrid w:val="0"/>
              <w:jc w:val="center"/>
              <w:rPr>
                <w:rFonts w:hint="eastAsia"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0.75</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842"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0.75</w:t>
            </w:r>
          </w:p>
        </w:tc>
        <w:tc>
          <w:tcPr>
            <w:tcW w:w="118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11.55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10" w:type="dxa"/>
            <w:vMerge w:val="continue"/>
            <w:noWrap w:val="0"/>
            <w:vAlign w:val="center"/>
          </w:tcPr>
          <w:p>
            <w:pPr>
              <w:pStyle w:val="19"/>
              <w:rPr>
                <w:rFonts w:ascii="Times New Roman" w:hAnsi="Times New Roman"/>
                <w:snapToGrid w:val="0"/>
                <w:color w:val="auto"/>
                <w:kern w:val="21"/>
                <w:sz w:val="24"/>
                <w:szCs w:val="24"/>
              </w:rPr>
            </w:pPr>
          </w:p>
        </w:tc>
        <w:tc>
          <w:tcPr>
            <w:tcW w:w="1833"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废水在线监测废液</w:t>
            </w:r>
          </w:p>
        </w:tc>
        <w:tc>
          <w:tcPr>
            <w:tcW w:w="1563"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05"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842"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10" w:type="dxa"/>
            <w:noWrap w:val="0"/>
            <w:vAlign w:val="center"/>
          </w:tcPr>
          <w:p>
            <w:pPr>
              <w:pStyle w:val="19"/>
              <w:rPr>
                <w:rFonts w:hint="eastAsia" w:ascii="Times New Roman" w:hAnsi="Times New Roman" w:eastAsia="宋体"/>
                <w:snapToGrid w:val="0"/>
                <w:color w:val="auto"/>
                <w:kern w:val="21"/>
                <w:sz w:val="24"/>
                <w:szCs w:val="24"/>
                <w:lang w:eastAsia="zh-CN"/>
              </w:rPr>
            </w:pPr>
            <w:r>
              <w:rPr>
                <w:rFonts w:hint="eastAsia" w:ascii="Times New Roman" w:hAnsi="Times New Roman"/>
                <w:snapToGrid w:val="0"/>
                <w:color w:val="auto"/>
                <w:kern w:val="21"/>
                <w:sz w:val="24"/>
                <w:szCs w:val="24"/>
                <w:lang w:eastAsia="zh-CN"/>
              </w:rPr>
              <w:t>生活垃圾</w:t>
            </w:r>
            <w:r>
              <w:rPr>
                <w:rFonts w:ascii="Times New Roman" w:hAnsi="Times New Roman"/>
                <w:snapToGrid w:val="0"/>
                <w:color w:val="auto"/>
                <w:kern w:val="21"/>
                <w:sz w:val="24"/>
                <w:szCs w:val="24"/>
              </w:rPr>
              <w:t>（t/a）</w:t>
            </w:r>
          </w:p>
        </w:tc>
        <w:tc>
          <w:tcPr>
            <w:tcW w:w="1833"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生活垃圾</w:t>
            </w:r>
          </w:p>
        </w:tc>
        <w:tc>
          <w:tcPr>
            <w:tcW w:w="1563"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2.64</w:t>
            </w:r>
          </w:p>
        </w:tc>
        <w:tc>
          <w:tcPr>
            <w:tcW w:w="1505"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559"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55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985" w:type="dxa"/>
            <w:noWrap w:val="0"/>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w:t>
            </w:r>
          </w:p>
        </w:tc>
        <w:tc>
          <w:tcPr>
            <w:tcW w:w="1842"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2.64</w:t>
            </w:r>
          </w:p>
        </w:tc>
        <w:tc>
          <w:tcPr>
            <w:tcW w:w="1189"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2.64</w:t>
            </w:r>
          </w:p>
        </w:tc>
      </w:tr>
    </w:tbl>
    <w:p>
      <w:pPr>
        <w:pStyle w:val="2"/>
        <w:rPr>
          <w:color w:val="auto"/>
        </w:rPr>
      </w:pPr>
    </w:p>
    <w:p/>
    <w:p>
      <w:pPr>
        <w:pStyle w:val="2"/>
      </w:pPr>
    </w:p>
    <w:p>
      <w:pPr>
        <w:pStyle w:val="2"/>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AAAC5F-157A-4B94-86C3-DDC09AA5D0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3E4906B-E7D0-491A-B0EE-75F5D21EF7C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5A3F881-3103-4FA5-9954-AE77BA5FF333}"/>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4" w:fontKey="{C7A5D650-1895-4780-B1AE-63DC193F21FE}"/>
  </w:font>
  <w:font w:name="方正小标宋_GBK">
    <w:panose1 w:val="02000000000000000000"/>
    <w:charset w:val="86"/>
    <w:family w:val="script"/>
    <w:pitch w:val="default"/>
    <w:sig w:usb0="A00002BF" w:usb1="38CF7CFA" w:usb2="00082016" w:usb3="00000000" w:csb0="00040001" w:csb1="00000000"/>
    <w:embedRegular r:id="rId5" w:fontKey="{961A99CD-D35B-4FF8-AEB8-734EA54D8E98}"/>
  </w:font>
  <w:font w:name="楷体_GB2312">
    <w:panose1 w:val="02010609030101010101"/>
    <w:charset w:val="86"/>
    <w:family w:val="modern"/>
    <w:pitch w:val="default"/>
    <w:sig w:usb0="00000001" w:usb1="080E0000" w:usb2="00000000" w:usb3="00000000" w:csb0="00040000" w:csb1="00000000"/>
    <w:embedRegular r:id="rId6" w:fontKey="{5EE17766-2546-44B0-AA3E-D4711349721F}"/>
  </w:font>
  <w:font w:name="华文仿宋">
    <w:panose1 w:val="02010600040101010101"/>
    <w:charset w:val="86"/>
    <w:family w:val="auto"/>
    <w:pitch w:val="default"/>
    <w:sig w:usb0="00000287" w:usb1="080F0000" w:usb2="00000000" w:usb3="00000000" w:csb0="0004009F" w:csb1="DFD70000"/>
    <w:embedRegular r:id="rId7" w:fontKey="{3EBC2769-B69F-4F06-90B4-3B87F55C2AA6}"/>
  </w:font>
  <w:font w:name="Wingdings 2">
    <w:panose1 w:val="05020102010507070707"/>
    <w:charset w:val="02"/>
    <w:family w:val="roman"/>
    <w:pitch w:val="default"/>
    <w:sig w:usb0="00000000" w:usb1="00000000" w:usb2="00000000" w:usb3="00000000" w:csb0="80000000" w:csb1="00000000"/>
    <w:embedRegular r:id="rId8" w:fontKey="{E4AA6ECC-47C4-47C3-BFCC-370E77E4511D}"/>
  </w:font>
  <w:font w:name="MS Mincho">
    <w:panose1 w:val="02020609040205080304"/>
    <w:charset w:val="80"/>
    <w:family w:val="modern"/>
    <w:pitch w:val="default"/>
    <w:sig w:usb0="E00002FF" w:usb1="6AC7FDFB" w:usb2="00000012" w:usb3="00000000" w:csb0="4002009F" w:csb1="DFD70000"/>
    <w:embedRegular r:id="rId9" w:fontKey="{95EE85B9-1DFC-4322-93FD-3DC0FB32B9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73825"/>
    <w:multiLevelType w:val="singleLevel"/>
    <w:tmpl w:val="81573825"/>
    <w:lvl w:ilvl="0" w:tentative="0">
      <w:start w:val="1"/>
      <w:numFmt w:val="decimal"/>
      <w:suff w:val="nothing"/>
      <w:lvlText w:val="（%1）"/>
      <w:lvlJc w:val="left"/>
    </w:lvl>
  </w:abstractNum>
  <w:abstractNum w:abstractNumId="1">
    <w:nsid w:val="94D60E4E"/>
    <w:multiLevelType w:val="singleLevel"/>
    <w:tmpl w:val="94D60E4E"/>
    <w:lvl w:ilvl="0" w:tentative="0">
      <w:start w:val="1"/>
      <w:numFmt w:val="decimal"/>
      <w:suff w:val="nothing"/>
      <w:lvlText w:val="（%1）"/>
      <w:lvlJc w:val="left"/>
    </w:lvl>
  </w:abstractNum>
  <w:abstractNum w:abstractNumId="2">
    <w:nsid w:val="A5F44E8C"/>
    <w:multiLevelType w:val="singleLevel"/>
    <w:tmpl w:val="A5F44E8C"/>
    <w:lvl w:ilvl="0" w:tentative="0">
      <w:start w:val="2"/>
      <w:numFmt w:val="decimal"/>
      <w:suff w:val="nothing"/>
      <w:lvlText w:val="%1、"/>
      <w:lvlJc w:val="left"/>
    </w:lvl>
  </w:abstractNum>
  <w:abstractNum w:abstractNumId="3">
    <w:nsid w:val="E5063D06"/>
    <w:multiLevelType w:val="singleLevel"/>
    <w:tmpl w:val="E5063D06"/>
    <w:lvl w:ilvl="0" w:tentative="0">
      <w:start w:val="1"/>
      <w:numFmt w:val="decimal"/>
      <w:suff w:val="nothing"/>
      <w:lvlText w:val="%1、"/>
      <w:lvlJc w:val="left"/>
      <w:pPr>
        <w:ind w:left="-210"/>
      </w:pPr>
    </w:lvl>
  </w:abstractNum>
  <w:abstractNum w:abstractNumId="4">
    <w:nsid w:val="F87DE846"/>
    <w:multiLevelType w:val="singleLevel"/>
    <w:tmpl w:val="F87DE846"/>
    <w:lvl w:ilvl="0" w:tentative="0">
      <w:start w:val="1"/>
      <w:numFmt w:val="decimal"/>
      <w:suff w:val="nothing"/>
      <w:lvlText w:val="%1、"/>
      <w:lvlJc w:val="left"/>
    </w:lvl>
  </w:abstractNum>
  <w:abstractNum w:abstractNumId="5">
    <w:nsid w:val="24566BD7"/>
    <w:multiLevelType w:val="singleLevel"/>
    <w:tmpl w:val="24566BD7"/>
    <w:lvl w:ilvl="0" w:tentative="0">
      <w:start w:val="3"/>
      <w:numFmt w:val="decimal"/>
      <w:suff w:val="nothing"/>
      <w:lvlText w:val="%1、"/>
      <w:lvlJc w:val="left"/>
    </w:lvl>
  </w:abstractNum>
  <w:abstractNum w:abstractNumId="6">
    <w:nsid w:val="34BD684F"/>
    <w:multiLevelType w:val="singleLevel"/>
    <w:tmpl w:val="34BD684F"/>
    <w:lvl w:ilvl="0" w:tentative="0">
      <w:start w:val="4"/>
      <w:numFmt w:val="chineseCounting"/>
      <w:suff w:val="nothing"/>
      <w:lvlText w:val="%1、"/>
      <w:lvlJc w:val="left"/>
      <w:rPr>
        <w:rFonts w:hint="eastAsia"/>
      </w:rPr>
    </w:lvl>
  </w:abstractNum>
  <w:abstractNum w:abstractNumId="7">
    <w:nsid w:val="3C45E9D1"/>
    <w:multiLevelType w:val="singleLevel"/>
    <w:tmpl w:val="3C45E9D1"/>
    <w:lvl w:ilvl="0" w:tentative="0">
      <w:start w:val="5"/>
      <w:numFmt w:val="chineseCounting"/>
      <w:suff w:val="nothing"/>
      <w:lvlText w:val="（%1）"/>
      <w:lvlJc w:val="left"/>
      <w:rPr>
        <w:rFonts w:hint="eastAsia"/>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Tg4Yjc2NTk1YjVlNWUzNTFlODE4NjE5YzAzZDEifQ=="/>
  </w:docVars>
  <w:rsids>
    <w:rsidRoot w:val="23C97AD6"/>
    <w:rsid w:val="0061443A"/>
    <w:rsid w:val="009F4799"/>
    <w:rsid w:val="02F51C42"/>
    <w:rsid w:val="03C86237"/>
    <w:rsid w:val="04B14754"/>
    <w:rsid w:val="0708351A"/>
    <w:rsid w:val="0A1357D3"/>
    <w:rsid w:val="0AA0139C"/>
    <w:rsid w:val="0BC05E87"/>
    <w:rsid w:val="0D1F336B"/>
    <w:rsid w:val="0D5C65C7"/>
    <w:rsid w:val="0E20718A"/>
    <w:rsid w:val="0F4120CD"/>
    <w:rsid w:val="0F455AD5"/>
    <w:rsid w:val="106E4ACA"/>
    <w:rsid w:val="10ED04A3"/>
    <w:rsid w:val="11274B3E"/>
    <w:rsid w:val="1240073B"/>
    <w:rsid w:val="132C3866"/>
    <w:rsid w:val="14DF0E5A"/>
    <w:rsid w:val="15A62394"/>
    <w:rsid w:val="163B3278"/>
    <w:rsid w:val="173006A1"/>
    <w:rsid w:val="18980D8F"/>
    <w:rsid w:val="19525CE9"/>
    <w:rsid w:val="196A1E12"/>
    <w:rsid w:val="1A436116"/>
    <w:rsid w:val="1BF8445D"/>
    <w:rsid w:val="1C2F2E0C"/>
    <w:rsid w:val="1EB25D75"/>
    <w:rsid w:val="1F4654F7"/>
    <w:rsid w:val="21246D4B"/>
    <w:rsid w:val="21545B9A"/>
    <w:rsid w:val="239E5424"/>
    <w:rsid w:val="23C97AD6"/>
    <w:rsid w:val="24107A5A"/>
    <w:rsid w:val="25C76FDC"/>
    <w:rsid w:val="26C5591E"/>
    <w:rsid w:val="26C75CFD"/>
    <w:rsid w:val="28825942"/>
    <w:rsid w:val="2D1A7254"/>
    <w:rsid w:val="2D6B7AAF"/>
    <w:rsid w:val="2E556795"/>
    <w:rsid w:val="2EDE23AD"/>
    <w:rsid w:val="2F637FB1"/>
    <w:rsid w:val="2FAA7C50"/>
    <w:rsid w:val="30450552"/>
    <w:rsid w:val="32401EE3"/>
    <w:rsid w:val="34683836"/>
    <w:rsid w:val="395F496C"/>
    <w:rsid w:val="3A141BDE"/>
    <w:rsid w:val="3AE43DB3"/>
    <w:rsid w:val="3B9B10BD"/>
    <w:rsid w:val="3BC33100"/>
    <w:rsid w:val="3DD05E38"/>
    <w:rsid w:val="3E0A667E"/>
    <w:rsid w:val="4021514C"/>
    <w:rsid w:val="41534618"/>
    <w:rsid w:val="430D69D5"/>
    <w:rsid w:val="43664B49"/>
    <w:rsid w:val="43954378"/>
    <w:rsid w:val="4509607B"/>
    <w:rsid w:val="459B04C9"/>
    <w:rsid w:val="45F14B9E"/>
    <w:rsid w:val="47BB7071"/>
    <w:rsid w:val="483E1BF1"/>
    <w:rsid w:val="483F6AC4"/>
    <w:rsid w:val="484D44F4"/>
    <w:rsid w:val="4A096F87"/>
    <w:rsid w:val="4C552DE1"/>
    <w:rsid w:val="4DCD0833"/>
    <w:rsid w:val="4DF26E69"/>
    <w:rsid w:val="4EDE7C89"/>
    <w:rsid w:val="53CA68D8"/>
    <w:rsid w:val="55702ABA"/>
    <w:rsid w:val="55725B02"/>
    <w:rsid w:val="577E46FF"/>
    <w:rsid w:val="57946E25"/>
    <w:rsid w:val="58356688"/>
    <w:rsid w:val="5847689F"/>
    <w:rsid w:val="58726CCB"/>
    <w:rsid w:val="59036473"/>
    <w:rsid w:val="5A2567CA"/>
    <w:rsid w:val="5AD134F5"/>
    <w:rsid w:val="5B7312B0"/>
    <w:rsid w:val="5E260394"/>
    <w:rsid w:val="61412A26"/>
    <w:rsid w:val="635C74F0"/>
    <w:rsid w:val="63EB4B08"/>
    <w:rsid w:val="655E74AD"/>
    <w:rsid w:val="68C91C01"/>
    <w:rsid w:val="6CAF7012"/>
    <w:rsid w:val="6D6D7983"/>
    <w:rsid w:val="6D8D6989"/>
    <w:rsid w:val="6E672752"/>
    <w:rsid w:val="70562F33"/>
    <w:rsid w:val="70853FB1"/>
    <w:rsid w:val="70AA5192"/>
    <w:rsid w:val="70B557C3"/>
    <w:rsid w:val="71970440"/>
    <w:rsid w:val="725D6F93"/>
    <w:rsid w:val="72AA5632"/>
    <w:rsid w:val="73BE3657"/>
    <w:rsid w:val="758A364B"/>
    <w:rsid w:val="75D4636A"/>
    <w:rsid w:val="76D92566"/>
    <w:rsid w:val="77A919F0"/>
    <w:rsid w:val="78070FC6"/>
    <w:rsid w:val="78651B23"/>
    <w:rsid w:val="7925068A"/>
    <w:rsid w:val="79957A45"/>
    <w:rsid w:val="79F04B91"/>
    <w:rsid w:val="7BA93FF4"/>
    <w:rsid w:val="7BCD5FE0"/>
    <w:rsid w:val="7BF65635"/>
    <w:rsid w:val="7CFE5817"/>
    <w:rsid w:val="7E236C2D"/>
    <w:rsid w:val="7F190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qFormat/>
    <w:uiPriority w:val="0"/>
    <w:pPr>
      <w:keepNext/>
      <w:keepLines/>
      <w:spacing w:before="260" w:after="260" w:line="416" w:lineRule="auto"/>
      <w:outlineLvl w:val="2"/>
    </w:pPr>
    <w:rPr>
      <w:rFonts w:ascii="Cambria" w:hAnsi="Cambria"/>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spacing w:after="120"/>
    </w:pPr>
    <w:rPr>
      <w:rFonts w:ascii="Cambria" w:hAnsi="Cambria"/>
      <w:sz w:val="24"/>
      <w:szCs w:val="20"/>
    </w:rPr>
  </w:style>
  <w:style w:type="paragraph" w:styleId="4">
    <w:name w:val="Normal Indent"/>
    <w:basedOn w:val="1"/>
    <w:next w:val="1"/>
    <w:autoRedefine/>
    <w:qFormat/>
    <w:uiPriority w:val="0"/>
    <w:pPr>
      <w:adjustRightInd w:val="0"/>
      <w:snapToGrid w:val="0"/>
      <w:spacing w:line="300" w:lineRule="auto"/>
    </w:pPr>
    <w:rPr>
      <w:rFonts w:ascii="仿宋_GB2312" w:eastAsia="仿宋_GB2312"/>
      <w:sz w:val="28"/>
    </w:rPr>
  </w:style>
  <w:style w:type="paragraph" w:styleId="5">
    <w:name w:val="annotation text"/>
    <w:basedOn w:val="1"/>
    <w:autoRedefine/>
    <w:unhideWhenUsed/>
    <w:qFormat/>
    <w:uiPriority w:val="0"/>
    <w:pPr>
      <w:jc w:val="left"/>
    </w:pPr>
  </w:style>
  <w:style w:type="paragraph" w:styleId="6">
    <w:name w:val="Body Text Indent"/>
    <w:basedOn w:val="1"/>
    <w:qFormat/>
    <w:uiPriority w:val="0"/>
    <w:pPr>
      <w:ind w:firstLine="360" w:firstLineChars="150"/>
      <w:jc w:val="left"/>
    </w:pPr>
    <w:rPr>
      <w:rFonts w:ascii="Calibri" w:hAnsi="Calibri"/>
      <w:kern w:val="0"/>
      <w:sz w:val="24"/>
      <w:szCs w:val="20"/>
    </w:rPr>
  </w:style>
  <w:style w:type="paragraph" w:styleId="7">
    <w:name w:val="Plain Text"/>
    <w:basedOn w:val="1"/>
    <w:autoRedefine/>
    <w:qFormat/>
    <w:uiPriority w:val="99"/>
    <w:rPr>
      <w:rFonts w:ascii="宋体" w:hAnsi="Courier New"/>
      <w:sz w:val="21"/>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styleId="15">
    <w:name w:val="annotation reference"/>
    <w:autoRedefine/>
    <w:semiHidden/>
    <w:qFormat/>
    <w:uiPriority w:val="0"/>
    <w:rPr>
      <w:sz w:val="21"/>
    </w:rPr>
  </w:style>
  <w:style w:type="paragraph" w:customStyle="1" w:styleId="16">
    <w:name w:val="表格加粗"/>
    <w:basedOn w:val="1"/>
    <w:next w:val="1"/>
    <w:autoRedefine/>
    <w:qFormat/>
    <w:uiPriority w:val="0"/>
    <w:pPr>
      <w:spacing w:line="400" w:lineRule="exact"/>
      <w:ind w:firstLine="0" w:firstLineChars="0"/>
      <w:jc w:val="center"/>
    </w:pPr>
    <w:rPr>
      <w:rFonts w:ascii="Times New Roman" w:hAnsi="Times New Roman" w:eastAsia="宋体"/>
      <w:b/>
      <w:bCs/>
      <w:sz w:val="18"/>
      <w:szCs w:val="18"/>
    </w:rPr>
  </w:style>
  <w:style w:type="paragraph" w:customStyle="1" w:styleId="17">
    <w:name w:val="表格正文"/>
    <w:basedOn w:val="16"/>
    <w:next w:val="1"/>
    <w:autoRedefine/>
    <w:qFormat/>
    <w:uiPriority w:val="0"/>
    <w:pPr>
      <w:spacing w:line="400" w:lineRule="exact"/>
      <w:ind w:firstLine="0" w:firstLineChars="0"/>
      <w:jc w:val="center"/>
    </w:pPr>
    <w:rPr>
      <w:rFonts w:ascii="Times New Roman" w:hAnsi="Times New Roman" w:eastAsia="宋体"/>
      <w:b w:val="0"/>
    </w:rPr>
  </w:style>
  <w:style w:type="paragraph" w:customStyle="1" w:styleId="18">
    <w:name w:val="表格文字2"/>
    <w:basedOn w:val="1"/>
    <w:autoRedefine/>
    <w:qFormat/>
    <w:uiPriority w:val="0"/>
    <w:pPr>
      <w:tabs>
        <w:tab w:val="left" w:pos="277"/>
        <w:tab w:val="left" w:pos="600"/>
        <w:tab w:val="left" w:pos="780"/>
        <w:tab w:val="left" w:pos="2517"/>
      </w:tabs>
      <w:adjustRightInd w:val="0"/>
      <w:snapToGrid w:val="0"/>
      <w:spacing w:line="240" w:lineRule="auto"/>
      <w:ind w:firstLine="0" w:firstLineChars="0"/>
      <w:jc w:val="center"/>
      <w:textAlignment w:val="baseline"/>
    </w:pPr>
    <w:rPr>
      <w:kern w:val="0"/>
      <w:sz w:val="21"/>
      <w:szCs w:val="21"/>
    </w:rPr>
  </w:style>
  <w:style w:type="paragraph" w:customStyle="1" w:styleId="19">
    <w:name w:val="表格"/>
    <w:basedOn w:val="1"/>
    <w:next w:val="1"/>
    <w:autoRedefine/>
    <w:qFormat/>
    <w:uiPriority w:val="0"/>
    <w:pPr>
      <w:jc w:val="center"/>
    </w:pPr>
    <w:rPr>
      <w:rFonts w:ascii="Calibri" w:hAnsi="Calibri"/>
      <w:kern w:val="0"/>
      <w:sz w:val="24"/>
      <w:szCs w:val="20"/>
    </w:rPr>
  </w:style>
  <w:style w:type="paragraph" w:customStyle="1" w:styleId="20">
    <w:name w:val="正文-lcc"/>
    <w:basedOn w:val="1"/>
    <w:autoRedefine/>
    <w:qFormat/>
    <w:uiPriority w:val="0"/>
    <w:pPr>
      <w:snapToGrid w:val="0"/>
      <w:spacing w:line="360" w:lineRule="auto"/>
      <w:ind w:firstLine="200" w:firstLineChars="200"/>
    </w:pPr>
    <w:rPr>
      <w:rFonts w:ascii="等线" w:hAnsi="等线" w:eastAsia="仿宋"/>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48637</Words>
  <Characters>55362</Characters>
  <Lines>0</Lines>
  <Paragraphs>0</Paragraphs>
  <TotalTime>16</TotalTime>
  <ScaleCrop>false</ScaleCrop>
  <LinksUpToDate>false</LinksUpToDate>
  <CharactersWithSpaces>56658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2023-02-28T08:30:00Z</dcterms:created>
  <dc:creator>皆</dc:creator>
  <cp:lastModifiedBy>TBJ</cp:lastModifiedBy>
  <cp:lastPrinted>2023-06-25T01:23:00Z</cp:lastPrinted>
  <dcterms:modified xsi:type="dcterms:W3CDTF">2024-05-27T07:37:21Z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3168AE8F3DCC4A1C9C9D1753406B4837_13</vt:lpwstr>
  </property>
</Properties>
</file>